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5861"/>
        <w:gridCol w:w="2327"/>
      </w:tblGrid>
      <w:tr w:rsidR="006F123E" w:rsidRPr="00C74525" w:rsidTr="003F74D1">
        <w:trPr>
          <w:trHeight w:val="3639"/>
          <w:jc w:val="center"/>
        </w:trPr>
        <w:tc>
          <w:tcPr>
            <w:tcW w:w="866" w:type="pct"/>
            <w:vMerge w:val="restart"/>
            <w:shd w:val="pct10" w:color="auto" w:fill="auto"/>
          </w:tcPr>
          <w:p w:rsidR="006F123E" w:rsidRPr="00C74525" w:rsidRDefault="006F123E" w:rsidP="00C74525">
            <w:pPr>
              <w:jc w:val="center"/>
              <w:rPr>
                <w:rFonts w:cs="Arial"/>
                <w:sz w:val="22"/>
                <w:szCs w:val="22"/>
                <w:lang w:eastAsia="es-ES"/>
              </w:rPr>
            </w:pPr>
            <w:bookmarkStart w:id="0" w:name="_GoBack"/>
            <w:bookmarkEnd w:id="0"/>
            <w:r w:rsidRPr="00C74525">
              <w:rPr>
                <w:rFonts w:cs="Arial"/>
                <w:b/>
                <w:bCs/>
                <w:sz w:val="22"/>
                <w:szCs w:val="22"/>
              </w:rPr>
              <w:t>Nombre del Informe de Seguimiento.</w:t>
            </w:r>
          </w:p>
        </w:tc>
        <w:tc>
          <w:tcPr>
            <w:tcW w:w="2959" w:type="pct"/>
            <w:vMerge w:val="restart"/>
            <w:vAlign w:val="center"/>
          </w:tcPr>
          <w:p w:rsidR="006F123E" w:rsidRPr="00A22D3E" w:rsidRDefault="006F123E" w:rsidP="00C74525">
            <w:pPr>
              <w:jc w:val="center"/>
              <w:rPr>
                <w:rFonts w:cs="Arial"/>
                <w:b/>
                <w:bCs/>
                <w:sz w:val="22"/>
                <w:szCs w:val="22"/>
              </w:rPr>
            </w:pPr>
            <w:r w:rsidRPr="00A22D3E">
              <w:rPr>
                <w:rFonts w:cs="Arial"/>
                <w:b/>
                <w:bCs/>
                <w:sz w:val="22"/>
                <w:szCs w:val="22"/>
              </w:rPr>
              <w:t>INFORME DE SEGUIMIENTO A LA IMPLEMENTACIÓN Y SOSTENIBILIDAD DEL SISTEMA I</w:t>
            </w:r>
            <w:r w:rsidR="00592536" w:rsidRPr="00A22D3E">
              <w:rPr>
                <w:rFonts w:cs="Arial"/>
                <w:b/>
                <w:bCs/>
                <w:sz w:val="22"/>
                <w:szCs w:val="22"/>
              </w:rPr>
              <w:t xml:space="preserve">NTEGRADO DE GESTIÓN CON CORTE </w:t>
            </w:r>
            <w:r w:rsidR="00DE0BAF" w:rsidRPr="00A22D3E">
              <w:rPr>
                <w:rFonts w:cs="Arial"/>
                <w:b/>
                <w:bCs/>
                <w:sz w:val="22"/>
                <w:szCs w:val="22"/>
              </w:rPr>
              <w:t xml:space="preserve">A </w:t>
            </w:r>
            <w:r w:rsidR="003B4812" w:rsidRPr="00A22D3E">
              <w:rPr>
                <w:rFonts w:cs="Arial"/>
                <w:b/>
                <w:bCs/>
                <w:sz w:val="22"/>
                <w:szCs w:val="22"/>
              </w:rPr>
              <w:t>JUNIO 30 DE 2019.</w:t>
            </w:r>
          </w:p>
          <w:p w:rsidR="006F123E" w:rsidRPr="00A22D3E" w:rsidRDefault="006F123E" w:rsidP="00C74525">
            <w:pPr>
              <w:rPr>
                <w:rFonts w:cs="Arial"/>
                <w:b/>
                <w:bCs/>
                <w:sz w:val="22"/>
                <w:szCs w:val="22"/>
              </w:rPr>
            </w:pPr>
          </w:p>
          <w:p w:rsidR="006F123E" w:rsidRPr="00A22D3E" w:rsidRDefault="006F123E" w:rsidP="00C74525">
            <w:pPr>
              <w:rPr>
                <w:rFonts w:cs="Arial"/>
                <w:bCs/>
                <w:sz w:val="22"/>
                <w:szCs w:val="22"/>
              </w:rPr>
            </w:pPr>
            <w:r w:rsidRPr="00A22D3E">
              <w:rPr>
                <w:rFonts w:cs="Arial"/>
                <w:bCs/>
                <w:sz w:val="22"/>
                <w:szCs w:val="22"/>
              </w:rPr>
              <w:t>Integrantes del Comité Institucional de Coordinación de Control Interno:</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 Andrés Ortiz Gómez</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 Camilo Cardona Casis</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 xml:space="preserve">Dr. Ciro González Ramírez </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 Antonio José Avendaño</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Dra. Paola Gómez Campos</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Dra. Martha Eugenia Ramos</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Dra.  Martha Cecilia Toro Pinzón</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 xml:space="preserve">Dra. María Alejandra </w:t>
            </w:r>
            <w:proofErr w:type="spellStart"/>
            <w:r w:rsidRPr="00A22D3E">
              <w:rPr>
                <w:rFonts w:cs="Arial"/>
                <w:bCs/>
                <w:sz w:val="22"/>
                <w:szCs w:val="22"/>
              </w:rPr>
              <w:t>Botiva</w:t>
            </w:r>
            <w:proofErr w:type="spellEnd"/>
            <w:r w:rsidRPr="00A22D3E">
              <w:rPr>
                <w:rFonts w:cs="Arial"/>
                <w:bCs/>
                <w:sz w:val="22"/>
                <w:szCs w:val="22"/>
              </w:rPr>
              <w:t xml:space="preserve"> León</w:t>
            </w:r>
          </w:p>
          <w:p w:rsidR="006F123E" w:rsidRPr="00A22D3E" w:rsidRDefault="006F123E" w:rsidP="00C74525">
            <w:pPr>
              <w:pStyle w:val="Prrafodelista"/>
              <w:numPr>
                <w:ilvl w:val="0"/>
                <w:numId w:val="3"/>
              </w:numPr>
              <w:tabs>
                <w:tab w:val="left" w:pos="254"/>
              </w:tabs>
              <w:ind w:left="0" w:firstLine="0"/>
              <w:rPr>
                <w:rFonts w:cs="Arial"/>
                <w:bCs/>
                <w:sz w:val="22"/>
                <w:szCs w:val="22"/>
              </w:rPr>
            </w:pPr>
            <w:r w:rsidRPr="00A22D3E">
              <w:rPr>
                <w:rFonts w:cs="Arial"/>
                <w:bCs/>
                <w:sz w:val="22"/>
                <w:szCs w:val="22"/>
              </w:rPr>
              <w:t>Dr. Mauricio Enrique Acosta Pinilla</w:t>
            </w:r>
          </w:p>
          <w:p w:rsidR="00E873FB" w:rsidRPr="00A22D3E" w:rsidRDefault="006F123E" w:rsidP="00C74525">
            <w:pPr>
              <w:pStyle w:val="Prrafodelista"/>
              <w:numPr>
                <w:ilvl w:val="0"/>
                <w:numId w:val="3"/>
              </w:numPr>
              <w:tabs>
                <w:tab w:val="left" w:pos="254"/>
              </w:tabs>
              <w:ind w:left="0" w:firstLine="0"/>
              <w:rPr>
                <w:rFonts w:cs="Arial"/>
                <w:sz w:val="22"/>
                <w:szCs w:val="22"/>
              </w:rPr>
            </w:pPr>
            <w:r w:rsidRPr="00A22D3E">
              <w:rPr>
                <w:rFonts w:cs="Arial"/>
                <w:bCs/>
                <w:sz w:val="22"/>
                <w:szCs w:val="22"/>
              </w:rPr>
              <w:t>Dra. Nancy Elizabeth Moreno Segura</w:t>
            </w:r>
          </w:p>
        </w:tc>
        <w:tc>
          <w:tcPr>
            <w:tcW w:w="1175" w:type="pct"/>
            <w:shd w:val="clear" w:color="auto" w:fill="auto"/>
            <w:vAlign w:val="center"/>
          </w:tcPr>
          <w:p w:rsidR="006F123E" w:rsidRPr="00C74525" w:rsidRDefault="006F123E" w:rsidP="00C74525">
            <w:pPr>
              <w:jc w:val="center"/>
              <w:rPr>
                <w:rFonts w:cs="Arial"/>
                <w:b/>
                <w:sz w:val="22"/>
                <w:szCs w:val="22"/>
                <w:highlight w:val="yellow"/>
                <w:lang w:eastAsia="es-ES"/>
              </w:rPr>
            </w:pPr>
          </w:p>
        </w:tc>
      </w:tr>
      <w:tr w:rsidR="006F123E" w:rsidRPr="00C74525" w:rsidTr="003F74D1">
        <w:trPr>
          <w:trHeight w:val="182"/>
          <w:jc w:val="center"/>
        </w:trPr>
        <w:tc>
          <w:tcPr>
            <w:tcW w:w="866" w:type="pct"/>
            <w:vMerge/>
            <w:shd w:val="pct10" w:color="auto" w:fill="auto"/>
            <w:vAlign w:val="center"/>
          </w:tcPr>
          <w:p w:rsidR="006F123E" w:rsidRPr="00C74525" w:rsidRDefault="006F123E" w:rsidP="00C74525">
            <w:pPr>
              <w:jc w:val="center"/>
              <w:rPr>
                <w:rFonts w:cs="Arial"/>
                <w:b/>
                <w:bCs/>
                <w:i/>
                <w:color w:val="FF0000"/>
                <w:sz w:val="22"/>
                <w:szCs w:val="22"/>
                <w:u w:val="single"/>
              </w:rPr>
            </w:pPr>
          </w:p>
        </w:tc>
        <w:tc>
          <w:tcPr>
            <w:tcW w:w="2959" w:type="pct"/>
            <w:vMerge/>
            <w:shd w:val="pct10" w:color="auto" w:fill="auto"/>
            <w:vAlign w:val="center"/>
          </w:tcPr>
          <w:p w:rsidR="006F123E" w:rsidRPr="00C74525" w:rsidRDefault="006F123E" w:rsidP="00C74525">
            <w:pPr>
              <w:jc w:val="center"/>
              <w:rPr>
                <w:rFonts w:cs="Arial"/>
                <w:b/>
                <w:bCs/>
                <w:i/>
                <w:color w:val="FF0000"/>
                <w:sz w:val="22"/>
                <w:szCs w:val="22"/>
                <w:u w:val="single"/>
              </w:rPr>
            </w:pPr>
          </w:p>
        </w:tc>
        <w:tc>
          <w:tcPr>
            <w:tcW w:w="1175" w:type="pct"/>
            <w:shd w:val="pct10" w:color="auto" w:fill="auto"/>
            <w:vAlign w:val="center"/>
          </w:tcPr>
          <w:p w:rsidR="006F123E" w:rsidRPr="00C74525" w:rsidRDefault="006F123E" w:rsidP="00C74525">
            <w:pPr>
              <w:jc w:val="center"/>
              <w:rPr>
                <w:rFonts w:cs="Arial"/>
                <w:sz w:val="22"/>
                <w:szCs w:val="22"/>
                <w:lang w:eastAsia="es-ES"/>
              </w:rPr>
            </w:pPr>
            <w:proofErr w:type="spellStart"/>
            <w:r w:rsidRPr="00C74525">
              <w:rPr>
                <w:rFonts w:cs="Arial"/>
                <w:b/>
                <w:sz w:val="22"/>
                <w:szCs w:val="22"/>
                <w:lang w:val="es-ES" w:eastAsia="es-ES"/>
              </w:rPr>
              <w:t>N°</w:t>
            </w:r>
            <w:proofErr w:type="spellEnd"/>
            <w:r w:rsidRPr="00C74525">
              <w:rPr>
                <w:rFonts w:cs="Arial"/>
                <w:b/>
                <w:sz w:val="22"/>
                <w:szCs w:val="22"/>
                <w:lang w:val="es-ES" w:eastAsia="es-ES"/>
              </w:rPr>
              <w:t xml:space="preserve"> Radicado al Despacho.</w:t>
            </w:r>
          </w:p>
        </w:tc>
      </w:tr>
    </w:tbl>
    <w:p w:rsidR="006F123E" w:rsidRPr="00C74525" w:rsidRDefault="006F123E" w:rsidP="00C74525">
      <w:pPr>
        <w:rPr>
          <w:rFonts w:cs="Arial"/>
          <w:sz w:val="22"/>
          <w:szCs w:val="22"/>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7"/>
      </w:tblGrid>
      <w:tr w:rsidR="006F123E" w:rsidRPr="00C74525" w:rsidTr="00E119B3">
        <w:trPr>
          <w:cantSplit/>
          <w:trHeight w:val="20"/>
          <w:jc w:val="center"/>
        </w:trPr>
        <w:tc>
          <w:tcPr>
            <w:tcW w:w="5000" w:type="pct"/>
            <w:shd w:val="pct10" w:color="auto" w:fill="auto"/>
            <w:vAlign w:val="center"/>
          </w:tcPr>
          <w:p w:rsidR="006F123E" w:rsidRPr="00C74525" w:rsidRDefault="00143DBD" w:rsidP="00C74525">
            <w:pPr>
              <w:jc w:val="left"/>
              <w:rPr>
                <w:rFonts w:cs="Arial"/>
                <w:b/>
                <w:sz w:val="22"/>
                <w:szCs w:val="22"/>
                <w:lang w:eastAsia="es-ES"/>
              </w:rPr>
            </w:pPr>
            <w:r w:rsidRPr="00C74525">
              <w:rPr>
                <w:rFonts w:cs="Arial"/>
                <w:b/>
                <w:sz w:val="22"/>
                <w:szCs w:val="22"/>
                <w:lang w:eastAsia="es-ES"/>
              </w:rPr>
              <w:t xml:space="preserve">1. </w:t>
            </w:r>
            <w:r w:rsidR="006F123E" w:rsidRPr="00C74525">
              <w:rPr>
                <w:rFonts w:cs="Arial"/>
                <w:b/>
                <w:sz w:val="22"/>
                <w:szCs w:val="22"/>
                <w:lang w:eastAsia="es-ES"/>
              </w:rPr>
              <w:t>Objetivo del Informe.</w:t>
            </w:r>
          </w:p>
        </w:tc>
      </w:tr>
      <w:tr w:rsidR="006F123E" w:rsidRPr="00C74525" w:rsidTr="00E119B3">
        <w:trPr>
          <w:cantSplit/>
          <w:trHeight w:val="20"/>
          <w:jc w:val="center"/>
        </w:trPr>
        <w:tc>
          <w:tcPr>
            <w:tcW w:w="5000" w:type="pct"/>
            <w:vAlign w:val="center"/>
          </w:tcPr>
          <w:p w:rsidR="006F123E" w:rsidRPr="00C74525" w:rsidRDefault="006F123E" w:rsidP="00C74525">
            <w:pPr>
              <w:jc w:val="left"/>
              <w:rPr>
                <w:rFonts w:cs="Arial"/>
                <w:sz w:val="22"/>
                <w:szCs w:val="22"/>
              </w:rPr>
            </w:pPr>
          </w:p>
          <w:p w:rsidR="006F123E" w:rsidRPr="00C74525" w:rsidRDefault="006F123E" w:rsidP="00C74525">
            <w:pPr>
              <w:rPr>
                <w:rFonts w:cs="Arial"/>
                <w:sz w:val="22"/>
                <w:szCs w:val="22"/>
              </w:rPr>
            </w:pPr>
            <w:r w:rsidRPr="00C74525">
              <w:rPr>
                <w:rFonts w:cs="Arial"/>
                <w:sz w:val="22"/>
                <w:szCs w:val="22"/>
              </w:rPr>
              <w:t xml:space="preserve">Evaluar la Implementación y Sostenibilidad del Sistema Integrado de Gestión SISIG en </w:t>
            </w:r>
            <w:r w:rsidR="007618E2" w:rsidRPr="00C74525">
              <w:rPr>
                <w:rFonts w:cs="Arial"/>
                <w:sz w:val="22"/>
                <w:szCs w:val="22"/>
              </w:rPr>
              <w:t>cumplimiento de</w:t>
            </w:r>
            <w:r w:rsidRPr="00C74525">
              <w:rPr>
                <w:rFonts w:cs="Arial"/>
                <w:sz w:val="22"/>
                <w:szCs w:val="22"/>
              </w:rPr>
              <w:t xml:space="preserve"> lo </w:t>
            </w:r>
            <w:r w:rsidR="001271F5" w:rsidRPr="00C74525">
              <w:rPr>
                <w:rFonts w:cs="Arial"/>
                <w:sz w:val="22"/>
                <w:szCs w:val="22"/>
              </w:rPr>
              <w:t>señalado</w:t>
            </w:r>
            <w:r w:rsidRPr="00C74525">
              <w:rPr>
                <w:rFonts w:cs="Arial"/>
                <w:sz w:val="22"/>
                <w:szCs w:val="22"/>
              </w:rPr>
              <w:t xml:space="preserve"> en el Artículo 4 del Decreto 215 de 2017</w:t>
            </w:r>
            <w:r w:rsidR="001271F5" w:rsidRPr="00C74525">
              <w:rPr>
                <w:rFonts w:cs="Arial"/>
                <w:sz w:val="22"/>
                <w:szCs w:val="22"/>
              </w:rPr>
              <w:t>.</w:t>
            </w:r>
          </w:p>
          <w:p w:rsidR="001271F5" w:rsidRPr="00C74525" w:rsidRDefault="001271F5" w:rsidP="00C74525">
            <w:pPr>
              <w:rPr>
                <w:rFonts w:cs="Arial"/>
                <w:sz w:val="22"/>
                <w:szCs w:val="22"/>
                <w:highlight w:val="magenta"/>
                <w:lang w:eastAsia="es-ES"/>
              </w:rPr>
            </w:pPr>
          </w:p>
        </w:tc>
      </w:tr>
      <w:tr w:rsidR="006F123E" w:rsidRPr="00C74525" w:rsidTr="00E119B3">
        <w:trPr>
          <w:cantSplit/>
          <w:trHeight w:val="20"/>
          <w:jc w:val="center"/>
        </w:trPr>
        <w:tc>
          <w:tcPr>
            <w:tcW w:w="5000" w:type="pct"/>
            <w:shd w:val="pct10" w:color="auto" w:fill="auto"/>
            <w:vAlign w:val="center"/>
          </w:tcPr>
          <w:p w:rsidR="006F123E" w:rsidRPr="00C74525" w:rsidRDefault="006F123E" w:rsidP="00C74525">
            <w:pPr>
              <w:jc w:val="left"/>
              <w:rPr>
                <w:rFonts w:cs="Arial"/>
                <w:b/>
                <w:sz w:val="22"/>
                <w:szCs w:val="22"/>
                <w:lang w:eastAsia="es-ES"/>
              </w:rPr>
            </w:pPr>
            <w:r w:rsidRPr="00C74525">
              <w:rPr>
                <w:rFonts w:cs="Arial"/>
                <w:b/>
                <w:sz w:val="22"/>
                <w:szCs w:val="22"/>
                <w:lang w:eastAsia="es-ES"/>
              </w:rPr>
              <w:t>2. Alcance del Informe.</w:t>
            </w:r>
          </w:p>
        </w:tc>
      </w:tr>
      <w:tr w:rsidR="006F123E" w:rsidRPr="00C74525" w:rsidTr="00E119B3">
        <w:trPr>
          <w:cantSplit/>
          <w:trHeight w:val="20"/>
          <w:jc w:val="center"/>
        </w:trPr>
        <w:tc>
          <w:tcPr>
            <w:tcW w:w="5000" w:type="pct"/>
            <w:vAlign w:val="center"/>
          </w:tcPr>
          <w:p w:rsidR="006F123E" w:rsidRPr="00C74525" w:rsidRDefault="006F123E" w:rsidP="00C74525">
            <w:pPr>
              <w:jc w:val="left"/>
              <w:rPr>
                <w:rFonts w:cs="Arial"/>
                <w:sz w:val="22"/>
                <w:szCs w:val="22"/>
              </w:rPr>
            </w:pPr>
          </w:p>
          <w:p w:rsidR="006F123E" w:rsidRPr="00C74525" w:rsidRDefault="00D660F7" w:rsidP="00C74525">
            <w:pPr>
              <w:rPr>
                <w:rFonts w:cs="Arial"/>
                <w:sz w:val="22"/>
                <w:szCs w:val="22"/>
              </w:rPr>
            </w:pPr>
            <w:r w:rsidRPr="00C74525">
              <w:rPr>
                <w:rFonts w:cs="Arial"/>
                <w:sz w:val="22"/>
                <w:szCs w:val="22"/>
              </w:rPr>
              <w:t>Implementación y s</w:t>
            </w:r>
            <w:r w:rsidR="006F123E" w:rsidRPr="00C74525">
              <w:rPr>
                <w:rFonts w:cs="Arial"/>
                <w:sz w:val="22"/>
                <w:szCs w:val="22"/>
              </w:rPr>
              <w:t>ostenibilidad del Sistema Integrado de Gestión</w:t>
            </w:r>
            <w:r w:rsidR="00393FBC" w:rsidRPr="00C74525">
              <w:rPr>
                <w:rFonts w:cs="Arial"/>
                <w:sz w:val="22"/>
                <w:szCs w:val="22"/>
              </w:rPr>
              <w:t xml:space="preserve"> </w:t>
            </w:r>
            <w:r w:rsidR="006F123E" w:rsidRPr="00C74525">
              <w:rPr>
                <w:rFonts w:cs="Arial"/>
                <w:sz w:val="22"/>
                <w:szCs w:val="22"/>
              </w:rPr>
              <w:t>de la SDP</w:t>
            </w:r>
            <w:r w:rsidR="00393FBC" w:rsidRPr="00C74525">
              <w:rPr>
                <w:rFonts w:cs="Arial"/>
                <w:sz w:val="22"/>
                <w:szCs w:val="22"/>
              </w:rPr>
              <w:t xml:space="preserve"> </w:t>
            </w:r>
            <w:r w:rsidR="00592536" w:rsidRPr="00C74525">
              <w:rPr>
                <w:rFonts w:cs="Arial"/>
                <w:sz w:val="22"/>
                <w:szCs w:val="22"/>
              </w:rPr>
              <w:t xml:space="preserve">entre </w:t>
            </w:r>
            <w:r w:rsidR="008E79A9" w:rsidRPr="00C74525">
              <w:rPr>
                <w:rFonts w:cs="Arial"/>
                <w:sz w:val="22"/>
                <w:szCs w:val="22"/>
              </w:rPr>
              <w:t>enero 01 de 2019</w:t>
            </w:r>
            <w:r w:rsidR="00592536" w:rsidRPr="00C74525">
              <w:rPr>
                <w:rFonts w:cs="Arial"/>
                <w:sz w:val="22"/>
                <w:szCs w:val="22"/>
              </w:rPr>
              <w:t xml:space="preserve"> y 3</w:t>
            </w:r>
            <w:r w:rsidR="008E79A9" w:rsidRPr="00C74525">
              <w:rPr>
                <w:rFonts w:cs="Arial"/>
                <w:sz w:val="22"/>
                <w:szCs w:val="22"/>
              </w:rPr>
              <w:t>0 de junio de 2019</w:t>
            </w:r>
            <w:r w:rsidR="00592536" w:rsidRPr="00C74525">
              <w:rPr>
                <w:rFonts w:cs="Arial"/>
                <w:sz w:val="22"/>
                <w:szCs w:val="22"/>
              </w:rPr>
              <w:t>.</w:t>
            </w:r>
          </w:p>
          <w:p w:rsidR="006F123E" w:rsidRPr="00C74525" w:rsidRDefault="006F123E" w:rsidP="00C74525">
            <w:pPr>
              <w:jc w:val="left"/>
              <w:rPr>
                <w:rFonts w:cs="Arial"/>
                <w:sz w:val="22"/>
                <w:szCs w:val="22"/>
              </w:rPr>
            </w:pPr>
          </w:p>
        </w:tc>
      </w:tr>
      <w:tr w:rsidR="006F123E" w:rsidRPr="00C74525" w:rsidTr="00E119B3">
        <w:trPr>
          <w:cantSplit/>
          <w:trHeight w:val="20"/>
          <w:jc w:val="center"/>
        </w:trPr>
        <w:tc>
          <w:tcPr>
            <w:tcW w:w="5000" w:type="pct"/>
            <w:shd w:val="pct10" w:color="auto" w:fill="auto"/>
            <w:vAlign w:val="center"/>
          </w:tcPr>
          <w:p w:rsidR="006F123E" w:rsidRPr="00C74525" w:rsidRDefault="006F123E" w:rsidP="00C74525">
            <w:pPr>
              <w:jc w:val="left"/>
              <w:rPr>
                <w:rFonts w:cs="Arial"/>
                <w:sz w:val="22"/>
                <w:szCs w:val="22"/>
                <w:lang w:eastAsia="es-ES"/>
              </w:rPr>
            </w:pPr>
            <w:r w:rsidRPr="00C74525">
              <w:rPr>
                <w:rFonts w:cs="Arial"/>
                <w:b/>
                <w:sz w:val="22"/>
                <w:szCs w:val="22"/>
                <w:lang w:eastAsia="es-ES"/>
              </w:rPr>
              <w:t>3. Criterios del Informe.</w:t>
            </w:r>
          </w:p>
        </w:tc>
      </w:tr>
      <w:tr w:rsidR="008E79A9" w:rsidRPr="00C74525" w:rsidTr="00E119B3">
        <w:trPr>
          <w:cantSplit/>
          <w:trHeight w:val="20"/>
          <w:jc w:val="center"/>
        </w:trPr>
        <w:tc>
          <w:tcPr>
            <w:tcW w:w="5000" w:type="pct"/>
          </w:tcPr>
          <w:p w:rsidR="008E79A9" w:rsidRPr="00C74525" w:rsidRDefault="008E79A9" w:rsidP="00C74525">
            <w:pPr>
              <w:rPr>
                <w:rFonts w:cs="Arial"/>
                <w:sz w:val="22"/>
                <w:szCs w:val="22"/>
              </w:rPr>
            </w:pPr>
          </w:p>
          <w:p w:rsidR="008E79A9" w:rsidRPr="00C74525" w:rsidRDefault="008E79A9" w:rsidP="00C74525">
            <w:pPr>
              <w:rPr>
                <w:rFonts w:cs="Arial"/>
                <w:sz w:val="22"/>
                <w:szCs w:val="22"/>
              </w:rPr>
            </w:pPr>
            <w:r w:rsidRPr="00C74525">
              <w:rPr>
                <w:rFonts w:cs="Arial"/>
                <w:sz w:val="22"/>
                <w:szCs w:val="22"/>
              </w:rPr>
              <w:t>Documentación vigente en el Sistema Integrado de Gestión de la SDP.</w:t>
            </w:r>
          </w:p>
          <w:p w:rsidR="008E79A9" w:rsidRPr="00C74525" w:rsidRDefault="008E79A9" w:rsidP="00C74525">
            <w:pPr>
              <w:rPr>
                <w:rFonts w:cs="Arial"/>
                <w:sz w:val="22"/>
                <w:szCs w:val="22"/>
              </w:rPr>
            </w:pPr>
          </w:p>
        </w:tc>
      </w:tr>
    </w:tbl>
    <w:p w:rsidR="006F123E" w:rsidRPr="00C74525" w:rsidRDefault="006F123E" w:rsidP="00C74525">
      <w:pPr>
        <w:rPr>
          <w:rFonts w:cs="Arial"/>
          <w:sz w:val="22"/>
          <w:szCs w:val="22"/>
        </w:rPr>
      </w:pPr>
    </w:p>
    <w:p w:rsidR="006F123E" w:rsidRPr="00C74525" w:rsidRDefault="006F123E" w:rsidP="00C74525">
      <w:pPr>
        <w:pBdr>
          <w:top w:val="single" w:sz="4" w:space="1" w:color="auto"/>
          <w:left w:val="single" w:sz="4" w:space="4" w:color="auto"/>
          <w:bottom w:val="single" w:sz="4" w:space="0" w:color="auto"/>
          <w:right w:val="single" w:sz="4" w:space="0" w:color="auto"/>
        </w:pBdr>
        <w:shd w:val="clear" w:color="auto" w:fill="E6E6E6"/>
        <w:rPr>
          <w:rFonts w:cs="Arial"/>
          <w:b/>
          <w:bCs/>
          <w:sz w:val="22"/>
          <w:szCs w:val="22"/>
        </w:rPr>
      </w:pPr>
      <w:r w:rsidRPr="00C74525">
        <w:rPr>
          <w:rFonts w:cs="Arial"/>
          <w:b/>
          <w:bCs/>
          <w:sz w:val="22"/>
          <w:szCs w:val="22"/>
        </w:rPr>
        <w:t>4. Resultados</w:t>
      </w:r>
      <w:r w:rsidR="00393FBC" w:rsidRPr="00C74525">
        <w:rPr>
          <w:rFonts w:cs="Arial"/>
          <w:b/>
          <w:bCs/>
          <w:sz w:val="22"/>
          <w:szCs w:val="22"/>
        </w:rPr>
        <w:t xml:space="preserve"> </w:t>
      </w:r>
      <w:r w:rsidRPr="00C74525">
        <w:rPr>
          <w:rFonts w:cs="Arial"/>
          <w:b/>
          <w:sz w:val="22"/>
          <w:szCs w:val="22"/>
          <w:lang w:eastAsia="es-ES"/>
        </w:rPr>
        <w:t>del Informe</w:t>
      </w:r>
    </w:p>
    <w:p w:rsidR="006F123E" w:rsidRPr="00931EBA" w:rsidRDefault="006F123E" w:rsidP="00C74525">
      <w:pPr>
        <w:rPr>
          <w:rFonts w:cs="Arial"/>
          <w:sz w:val="22"/>
          <w:szCs w:val="22"/>
        </w:rPr>
      </w:pPr>
    </w:p>
    <w:p w:rsidR="00F04BB6" w:rsidRPr="00931EBA" w:rsidRDefault="00871C00">
      <w:pPr>
        <w:pStyle w:val="TDC1"/>
        <w:tabs>
          <w:tab w:val="left" w:pos="660"/>
        </w:tabs>
        <w:rPr>
          <w:rFonts w:asciiTheme="minorHAnsi" w:eastAsiaTheme="minorEastAsia" w:hAnsiTheme="minorHAnsi" w:cstheme="minorBidi"/>
          <w:szCs w:val="22"/>
          <w:lang w:val="es-ES" w:eastAsia="es-ES"/>
        </w:rPr>
      </w:pPr>
      <w:r w:rsidRPr="00931EBA">
        <w:rPr>
          <w:szCs w:val="22"/>
        </w:rPr>
        <w:fldChar w:fldCharType="begin"/>
      </w:r>
      <w:r w:rsidR="006F123E" w:rsidRPr="00931EBA">
        <w:rPr>
          <w:szCs w:val="22"/>
        </w:rPr>
        <w:instrText xml:space="preserve"> TOC \o "1-3" \h \z \u </w:instrText>
      </w:r>
      <w:r w:rsidRPr="00931EBA">
        <w:rPr>
          <w:szCs w:val="22"/>
        </w:rPr>
        <w:fldChar w:fldCharType="separate"/>
      </w:r>
      <w:hyperlink w:anchor="_Toc13141902" w:history="1">
        <w:r w:rsidR="00F04BB6" w:rsidRPr="00931EBA">
          <w:rPr>
            <w:rStyle w:val="Hipervnculo"/>
            <w:rFonts w:cs="Times New Roman"/>
            <w:color w:val="auto"/>
          </w:rPr>
          <w:t>4.1</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Generalidades</w:t>
        </w:r>
        <w:r w:rsidR="00F04BB6" w:rsidRPr="00931EBA">
          <w:rPr>
            <w:webHidden/>
          </w:rPr>
          <w:tab/>
        </w:r>
        <w:r w:rsidRPr="00931EBA">
          <w:rPr>
            <w:webHidden/>
          </w:rPr>
          <w:fldChar w:fldCharType="begin"/>
        </w:r>
        <w:r w:rsidR="00F04BB6" w:rsidRPr="00931EBA">
          <w:rPr>
            <w:webHidden/>
          </w:rPr>
          <w:instrText xml:space="preserve"> PAGEREF _Toc13141902 \h </w:instrText>
        </w:r>
        <w:r w:rsidRPr="00931EBA">
          <w:rPr>
            <w:webHidden/>
          </w:rPr>
        </w:r>
        <w:r w:rsidRPr="00931EBA">
          <w:rPr>
            <w:webHidden/>
          </w:rPr>
          <w:fldChar w:fldCharType="separate"/>
        </w:r>
        <w:r w:rsidR="00686350">
          <w:rPr>
            <w:webHidden/>
          </w:rPr>
          <w:t>1</w:t>
        </w:r>
        <w:r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3" w:history="1">
        <w:r w:rsidR="00F04BB6" w:rsidRPr="00931EBA">
          <w:rPr>
            <w:rStyle w:val="Hipervnculo"/>
            <w:rFonts w:cs="Times New Roman"/>
            <w:color w:val="auto"/>
          </w:rPr>
          <w:t>4.2</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Riesgos</w:t>
        </w:r>
        <w:r w:rsidR="00F04BB6" w:rsidRPr="00931EBA">
          <w:rPr>
            <w:webHidden/>
          </w:rPr>
          <w:tab/>
        </w:r>
        <w:r w:rsidR="00871C00" w:rsidRPr="00931EBA">
          <w:rPr>
            <w:webHidden/>
          </w:rPr>
          <w:fldChar w:fldCharType="begin"/>
        </w:r>
        <w:r w:rsidR="00F04BB6" w:rsidRPr="00931EBA">
          <w:rPr>
            <w:webHidden/>
          </w:rPr>
          <w:instrText xml:space="preserve"> PAGEREF _Toc13141903 \h </w:instrText>
        </w:r>
        <w:r w:rsidR="00871C00" w:rsidRPr="00931EBA">
          <w:rPr>
            <w:webHidden/>
          </w:rPr>
        </w:r>
        <w:r w:rsidR="00871C00" w:rsidRPr="00931EBA">
          <w:rPr>
            <w:webHidden/>
          </w:rPr>
          <w:fldChar w:fldCharType="separate"/>
        </w:r>
        <w:r w:rsidR="00686350">
          <w:rPr>
            <w:webHidden/>
          </w:rPr>
          <w:t>3</w:t>
        </w:r>
        <w:r w:rsidR="00871C00"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4" w:history="1">
        <w:r w:rsidR="00F04BB6" w:rsidRPr="00931EBA">
          <w:rPr>
            <w:rStyle w:val="Hipervnculo"/>
            <w:rFonts w:cs="Times New Roman"/>
            <w:color w:val="auto"/>
          </w:rPr>
          <w:t>4.3</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Planes de mejoramiento</w:t>
        </w:r>
        <w:r w:rsidR="00F04BB6" w:rsidRPr="00931EBA">
          <w:rPr>
            <w:webHidden/>
          </w:rPr>
          <w:tab/>
        </w:r>
        <w:r w:rsidR="00871C00" w:rsidRPr="00931EBA">
          <w:rPr>
            <w:webHidden/>
          </w:rPr>
          <w:fldChar w:fldCharType="begin"/>
        </w:r>
        <w:r w:rsidR="00F04BB6" w:rsidRPr="00931EBA">
          <w:rPr>
            <w:webHidden/>
          </w:rPr>
          <w:instrText xml:space="preserve"> PAGEREF _Toc13141904 \h </w:instrText>
        </w:r>
        <w:r w:rsidR="00871C00" w:rsidRPr="00931EBA">
          <w:rPr>
            <w:webHidden/>
          </w:rPr>
        </w:r>
        <w:r w:rsidR="00871C00" w:rsidRPr="00931EBA">
          <w:rPr>
            <w:webHidden/>
          </w:rPr>
          <w:fldChar w:fldCharType="separate"/>
        </w:r>
        <w:r w:rsidR="00686350">
          <w:rPr>
            <w:webHidden/>
          </w:rPr>
          <w:t>3</w:t>
        </w:r>
        <w:r w:rsidR="00871C00"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5" w:history="1">
        <w:r w:rsidR="00F04BB6" w:rsidRPr="00931EBA">
          <w:rPr>
            <w:rStyle w:val="Hipervnculo"/>
            <w:rFonts w:cs="Times New Roman"/>
            <w:color w:val="auto"/>
          </w:rPr>
          <w:t>4.4</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Indicadores</w:t>
        </w:r>
        <w:r w:rsidR="00F04BB6" w:rsidRPr="00931EBA">
          <w:rPr>
            <w:webHidden/>
          </w:rPr>
          <w:tab/>
        </w:r>
        <w:r w:rsidR="00871C00" w:rsidRPr="00931EBA">
          <w:rPr>
            <w:webHidden/>
          </w:rPr>
          <w:fldChar w:fldCharType="begin"/>
        </w:r>
        <w:r w:rsidR="00F04BB6" w:rsidRPr="00931EBA">
          <w:rPr>
            <w:webHidden/>
          </w:rPr>
          <w:instrText xml:space="preserve"> PAGEREF _Toc13141905 \h </w:instrText>
        </w:r>
        <w:r w:rsidR="00871C00" w:rsidRPr="00931EBA">
          <w:rPr>
            <w:webHidden/>
          </w:rPr>
        </w:r>
        <w:r w:rsidR="00871C00" w:rsidRPr="00931EBA">
          <w:rPr>
            <w:webHidden/>
          </w:rPr>
          <w:fldChar w:fldCharType="separate"/>
        </w:r>
        <w:r w:rsidR="00686350">
          <w:rPr>
            <w:webHidden/>
          </w:rPr>
          <w:t>3</w:t>
        </w:r>
        <w:r w:rsidR="00871C00"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6" w:history="1">
        <w:r w:rsidR="00F04BB6" w:rsidRPr="00931EBA">
          <w:rPr>
            <w:rStyle w:val="Hipervnculo"/>
            <w:rFonts w:cs="Times New Roman"/>
            <w:color w:val="auto"/>
          </w:rPr>
          <w:t>4.5</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Documentos</w:t>
        </w:r>
        <w:r w:rsidR="00F04BB6" w:rsidRPr="00931EBA">
          <w:rPr>
            <w:webHidden/>
          </w:rPr>
          <w:tab/>
        </w:r>
        <w:r w:rsidR="00871C00" w:rsidRPr="00931EBA">
          <w:rPr>
            <w:webHidden/>
          </w:rPr>
          <w:fldChar w:fldCharType="begin"/>
        </w:r>
        <w:r w:rsidR="00F04BB6" w:rsidRPr="00931EBA">
          <w:rPr>
            <w:webHidden/>
          </w:rPr>
          <w:instrText xml:space="preserve"> PAGEREF _Toc13141906 \h </w:instrText>
        </w:r>
        <w:r w:rsidR="00871C00" w:rsidRPr="00931EBA">
          <w:rPr>
            <w:webHidden/>
          </w:rPr>
        </w:r>
        <w:r w:rsidR="00871C00" w:rsidRPr="00931EBA">
          <w:rPr>
            <w:webHidden/>
          </w:rPr>
          <w:fldChar w:fldCharType="separate"/>
        </w:r>
        <w:r w:rsidR="00686350">
          <w:rPr>
            <w:webHidden/>
          </w:rPr>
          <w:t>4</w:t>
        </w:r>
        <w:r w:rsidR="00871C00"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7" w:history="1">
        <w:r w:rsidR="00F04BB6" w:rsidRPr="00931EBA">
          <w:rPr>
            <w:rStyle w:val="Hipervnculo"/>
            <w:rFonts w:cs="Times New Roman"/>
            <w:color w:val="auto"/>
          </w:rPr>
          <w:t>4.6</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Actividades del PHVA</w:t>
        </w:r>
        <w:r w:rsidR="00F04BB6" w:rsidRPr="00931EBA">
          <w:rPr>
            <w:webHidden/>
          </w:rPr>
          <w:tab/>
        </w:r>
        <w:r w:rsidR="00871C00" w:rsidRPr="00931EBA">
          <w:rPr>
            <w:webHidden/>
          </w:rPr>
          <w:fldChar w:fldCharType="begin"/>
        </w:r>
        <w:r w:rsidR="00F04BB6" w:rsidRPr="00931EBA">
          <w:rPr>
            <w:webHidden/>
          </w:rPr>
          <w:instrText xml:space="preserve"> PAGEREF _Toc13141907 \h </w:instrText>
        </w:r>
        <w:r w:rsidR="00871C00" w:rsidRPr="00931EBA">
          <w:rPr>
            <w:webHidden/>
          </w:rPr>
        </w:r>
        <w:r w:rsidR="00871C00" w:rsidRPr="00931EBA">
          <w:rPr>
            <w:webHidden/>
          </w:rPr>
          <w:fldChar w:fldCharType="separate"/>
        </w:r>
        <w:r w:rsidR="00686350">
          <w:rPr>
            <w:webHidden/>
          </w:rPr>
          <w:t>6</w:t>
        </w:r>
        <w:r w:rsidR="00871C00" w:rsidRPr="00931EBA">
          <w:rPr>
            <w:webHidden/>
          </w:rPr>
          <w:fldChar w:fldCharType="end"/>
        </w:r>
      </w:hyperlink>
    </w:p>
    <w:p w:rsidR="00F04BB6" w:rsidRPr="00931EBA" w:rsidRDefault="004D1643">
      <w:pPr>
        <w:pStyle w:val="TDC1"/>
        <w:tabs>
          <w:tab w:val="left" w:pos="660"/>
        </w:tabs>
        <w:rPr>
          <w:rFonts w:asciiTheme="minorHAnsi" w:eastAsiaTheme="minorEastAsia" w:hAnsiTheme="minorHAnsi" w:cstheme="minorBidi"/>
          <w:szCs w:val="22"/>
          <w:lang w:val="es-ES" w:eastAsia="es-ES"/>
        </w:rPr>
      </w:pPr>
      <w:hyperlink w:anchor="_Toc13141908" w:history="1">
        <w:r w:rsidR="00F04BB6" w:rsidRPr="00931EBA">
          <w:rPr>
            <w:rStyle w:val="Hipervnculo"/>
            <w:rFonts w:cs="Times New Roman"/>
            <w:color w:val="auto"/>
          </w:rPr>
          <w:t>4.7</w:t>
        </w:r>
        <w:r w:rsidR="00F04BB6" w:rsidRPr="00931EBA">
          <w:rPr>
            <w:rFonts w:asciiTheme="minorHAnsi" w:eastAsiaTheme="minorEastAsia" w:hAnsiTheme="minorHAnsi" w:cstheme="minorBidi"/>
            <w:szCs w:val="22"/>
            <w:lang w:val="es-ES" w:eastAsia="es-ES"/>
          </w:rPr>
          <w:tab/>
        </w:r>
        <w:r w:rsidR="00F04BB6" w:rsidRPr="00931EBA">
          <w:rPr>
            <w:rStyle w:val="Hipervnculo"/>
            <w:color w:val="auto"/>
          </w:rPr>
          <w:t>Herramientas tecnológicas</w:t>
        </w:r>
        <w:r w:rsidR="00F04BB6" w:rsidRPr="00931EBA">
          <w:rPr>
            <w:webHidden/>
          </w:rPr>
          <w:tab/>
        </w:r>
        <w:r w:rsidR="00871C00" w:rsidRPr="00931EBA">
          <w:rPr>
            <w:webHidden/>
          </w:rPr>
          <w:fldChar w:fldCharType="begin"/>
        </w:r>
        <w:r w:rsidR="00F04BB6" w:rsidRPr="00931EBA">
          <w:rPr>
            <w:webHidden/>
          </w:rPr>
          <w:instrText xml:space="preserve"> PAGEREF _Toc13141908 \h </w:instrText>
        </w:r>
        <w:r w:rsidR="00871C00" w:rsidRPr="00931EBA">
          <w:rPr>
            <w:webHidden/>
          </w:rPr>
        </w:r>
        <w:r w:rsidR="00871C00" w:rsidRPr="00931EBA">
          <w:rPr>
            <w:webHidden/>
          </w:rPr>
          <w:fldChar w:fldCharType="separate"/>
        </w:r>
        <w:r w:rsidR="00686350">
          <w:rPr>
            <w:webHidden/>
          </w:rPr>
          <w:t>6</w:t>
        </w:r>
        <w:r w:rsidR="00871C00" w:rsidRPr="00931EBA">
          <w:rPr>
            <w:webHidden/>
          </w:rPr>
          <w:fldChar w:fldCharType="end"/>
        </w:r>
      </w:hyperlink>
    </w:p>
    <w:p w:rsidR="008E79A9" w:rsidRPr="00931EBA" w:rsidRDefault="00871C00" w:rsidP="00C74525">
      <w:pPr>
        <w:rPr>
          <w:rFonts w:cs="Arial"/>
          <w:sz w:val="22"/>
          <w:szCs w:val="22"/>
        </w:rPr>
      </w:pPr>
      <w:r w:rsidRPr="00931EBA">
        <w:rPr>
          <w:rFonts w:cs="Arial"/>
          <w:sz w:val="22"/>
          <w:szCs w:val="22"/>
        </w:rPr>
        <w:fldChar w:fldCharType="end"/>
      </w:r>
    </w:p>
    <w:p w:rsidR="006F123E" w:rsidRPr="00C74525" w:rsidRDefault="00E61A35" w:rsidP="00C74525">
      <w:pPr>
        <w:pStyle w:val="Ttulo1"/>
        <w:numPr>
          <w:ilvl w:val="1"/>
          <w:numId w:val="4"/>
        </w:numPr>
        <w:tabs>
          <w:tab w:val="clear" w:pos="720"/>
          <w:tab w:val="num" w:pos="284"/>
        </w:tabs>
        <w:spacing w:before="0"/>
        <w:ind w:left="0" w:firstLine="0"/>
        <w:rPr>
          <w:rFonts w:ascii="Arial" w:hAnsi="Arial" w:cs="Arial"/>
          <w:color w:val="auto"/>
          <w:sz w:val="22"/>
          <w:szCs w:val="22"/>
        </w:rPr>
      </w:pPr>
      <w:bookmarkStart w:id="1" w:name="_Toc13141902"/>
      <w:r w:rsidRPr="00C74525">
        <w:rPr>
          <w:rFonts w:ascii="Arial" w:hAnsi="Arial" w:cs="Arial"/>
          <w:color w:val="auto"/>
          <w:sz w:val="22"/>
          <w:szCs w:val="22"/>
        </w:rPr>
        <w:t>Generalidades</w:t>
      </w:r>
      <w:bookmarkEnd w:id="1"/>
    </w:p>
    <w:p w:rsidR="006F123E" w:rsidRPr="00C74525" w:rsidRDefault="006F123E" w:rsidP="00C74525">
      <w:pPr>
        <w:rPr>
          <w:rFonts w:cs="Arial"/>
          <w:sz w:val="22"/>
          <w:szCs w:val="22"/>
        </w:rPr>
      </w:pPr>
    </w:p>
    <w:p w:rsidR="00711EC2" w:rsidRPr="00C74525" w:rsidRDefault="00ED16D1" w:rsidP="00C74525">
      <w:pPr>
        <w:rPr>
          <w:rFonts w:cs="Arial"/>
          <w:sz w:val="22"/>
          <w:szCs w:val="22"/>
        </w:rPr>
      </w:pPr>
      <w:r w:rsidRPr="00C74525">
        <w:rPr>
          <w:rFonts w:cs="Arial"/>
          <w:sz w:val="22"/>
          <w:szCs w:val="22"/>
        </w:rPr>
        <w:t xml:space="preserve">Los inicios del Sistema Integrado de Gestión se remontan al momento en que mediante </w:t>
      </w:r>
      <w:r w:rsidR="0089031C" w:rsidRPr="00C74525">
        <w:rPr>
          <w:rFonts w:cs="Arial"/>
          <w:sz w:val="22"/>
          <w:szCs w:val="22"/>
        </w:rPr>
        <w:t xml:space="preserve">Resolución </w:t>
      </w:r>
      <w:r w:rsidRPr="00C74525">
        <w:rPr>
          <w:rFonts w:cs="Arial"/>
          <w:sz w:val="22"/>
          <w:szCs w:val="22"/>
        </w:rPr>
        <w:t>138 de marzo 22 de 2005</w:t>
      </w:r>
      <w:r w:rsidR="00EB7392" w:rsidRPr="00C74525">
        <w:rPr>
          <w:rFonts w:cs="Arial"/>
          <w:sz w:val="22"/>
          <w:szCs w:val="22"/>
        </w:rPr>
        <w:t xml:space="preserve"> se creó el Comité Asesor del Sistema de Gestión de Calidad</w:t>
      </w:r>
      <w:r w:rsidR="006327FC" w:rsidRPr="00C74525">
        <w:rPr>
          <w:rFonts w:cs="Arial"/>
          <w:sz w:val="22"/>
          <w:szCs w:val="22"/>
        </w:rPr>
        <w:t xml:space="preserve"> y</w:t>
      </w:r>
      <w:r w:rsidR="00864F8B">
        <w:rPr>
          <w:rFonts w:cs="Arial"/>
          <w:sz w:val="22"/>
          <w:szCs w:val="22"/>
        </w:rPr>
        <w:t xml:space="preserve"> </w:t>
      </w:r>
      <w:r w:rsidR="006327FC" w:rsidRPr="00C74525">
        <w:rPr>
          <w:rFonts w:cs="Arial"/>
          <w:sz w:val="22"/>
          <w:szCs w:val="22"/>
        </w:rPr>
        <w:t xml:space="preserve">mediante la </w:t>
      </w:r>
      <w:r w:rsidR="0089031C" w:rsidRPr="00C74525">
        <w:rPr>
          <w:rFonts w:cs="Arial"/>
          <w:sz w:val="22"/>
          <w:szCs w:val="22"/>
        </w:rPr>
        <w:t xml:space="preserve">Resolución </w:t>
      </w:r>
      <w:r w:rsidR="006327FC" w:rsidRPr="00C74525">
        <w:rPr>
          <w:rFonts w:cs="Arial"/>
          <w:sz w:val="22"/>
          <w:szCs w:val="22"/>
        </w:rPr>
        <w:t>0956 de diciembre 20 de 2005 se adoptó el Modelo Estándar de Control Interno. Estos dos componentes</w:t>
      </w:r>
      <w:r w:rsidR="00EB7392" w:rsidRPr="00C74525">
        <w:rPr>
          <w:rFonts w:cs="Arial"/>
          <w:sz w:val="22"/>
          <w:szCs w:val="22"/>
        </w:rPr>
        <w:t xml:space="preserve"> funcionaban de manera simultánea, </w:t>
      </w:r>
      <w:r w:rsidR="006327FC" w:rsidRPr="00C74525">
        <w:rPr>
          <w:rFonts w:cs="Arial"/>
          <w:sz w:val="22"/>
          <w:szCs w:val="22"/>
        </w:rPr>
        <w:t>y</w:t>
      </w:r>
      <w:r w:rsidR="00EB7392" w:rsidRPr="00C74525">
        <w:rPr>
          <w:rFonts w:cs="Arial"/>
          <w:sz w:val="22"/>
          <w:szCs w:val="22"/>
        </w:rPr>
        <w:t xml:space="preserve"> trata</w:t>
      </w:r>
      <w:r w:rsidR="00864F8B">
        <w:rPr>
          <w:rFonts w:cs="Arial"/>
          <w:sz w:val="22"/>
          <w:szCs w:val="22"/>
        </w:rPr>
        <w:t>ban</w:t>
      </w:r>
      <w:r w:rsidR="00EB7392" w:rsidRPr="00C74525">
        <w:rPr>
          <w:rFonts w:cs="Arial"/>
          <w:sz w:val="22"/>
          <w:szCs w:val="22"/>
        </w:rPr>
        <w:t xml:space="preserve"> temas afines</w:t>
      </w:r>
      <w:r w:rsidR="00711EC2" w:rsidRPr="00C74525">
        <w:rPr>
          <w:rFonts w:cs="Arial"/>
          <w:sz w:val="22"/>
          <w:szCs w:val="22"/>
        </w:rPr>
        <w:t>, razón por la cual</w:t>
      </w:r>
      <w:r w:rsidR="00AA7FD0" w:rsidRPr="00C74525">
        <w:rPr>
          <w:rFonts w:cs="Arial"/>
          <w:sz w:val="22"/>
          <w:szCs w:val="22"/>
        </w:rPr>
        <w:t>,</w:t>
      </w:r>
      <w:r w:rsidR="00EB7392" w:rsidRPr="00C74525">
        <w:rPr>
          <w:rFonts w:cs="Arial"/>
          <w:sz w:val="22"/>
          <w:szCs w:val="22"/>
        </w:rPr>
        <w:t xml:space="preserve"> se fusionaron en uno solo</w:t>
      </w:r>
      <w:r w:rsidR="00AA7FD0" w:rsidRPr="00C74525">
        <w:rPr>
          <w:rFonts w:cs="Arial"/>
          <w:sz w:val="22"/>
          <w:szCs w:val="22"/>
        </w:rPr>
        <w:t xml:space="preserve"> esquema mediante la Resolución </w:t>
      </w:r>
      <w:r w:rsidR="00DC78AE" w:rsidRPr="00C74525">
        <w:rPr>
          <w:rFonts w:cs="Arial"/>
          <w:sz w:val="22"/>
          <w:szCs w:val="22"/>
        </w:rPr>
        <w:t>464 de mayo 19 de 2006</w:t>
      </w:r>
      <w:r w:rsidR="00EB7392" w:rsidRPr="00C74525">
        <w:rPr>
          <w:rFonts w:cs="Arial"/>
          <w:sz w:val="22"/>
          <w:szCs w:val="22"/>
        </w:rPr>
        <w:t>, anticipándo</w:t>
      </w:r>
      <w:r w:rsidR="0089031C" w:rsidRPr="00C74525">
        <w:rPr>
          <w:rFonts w:cs="Arial"/>
          <w:sz w:val="22"/>
          <w:szCs w:val="22"/>
        </w:rPr>
        <w:t>se</w:t>
      </w:r>
      <w:r w:rsidR="00EB7392" w:rsidRPr="00C74525">
        <w:rPr>
          <w:rFonts w:cs="Arial"/>
          <w:sz w:val="22"/>
          <w:szCs w:val="22"/>
        </w:rPr>
        <w:t xml:space="preserve"> a la </w:t>
      </w:r>
      <w:r w:rsidR="00EB7392" w:rsidRPr="00C74525">
        <w:rPr>
          <w:rFonts w:cs="Arial"/>
          <w:sz w:val="22"/>
          <w:szCs w:val="22"/>
        </w:rPr>
        <w:lastRenderedPageBreak/>
        <w:t>circular conjunta 018 de mayo 31 de 2006</w:t>
      </w:r>
      <w:r w:rsidR="0089031C" w:rsidRPr="00C74525">
        <w:rPr>
          <w:rFonts w:cs="Arial"/>
          <w:sz w:val="22"/>
          <w:szCs w:val="22"/>
        </w:rPr>
        <w:t xml:space="preserve"> del Distrito</w:t>
      </w:r>
      <w:r w:rsidR="00EB7392" w:rsidRPr="00C74525">
        <w:rPr>
          <w:rFonts w:cs="Arial"/>
          <w:sz w:val="22"/>
          <w:szCs w:val="22"/>
        </w:rPr>
        <w:t xml:space="preserve">, </w:t>
      </w:r>
      <w:r w:rsidR="00AA7FD0" w:rsidRPr="00C74525">
        <w:rPr>
          <w:rFonts w:cs="Arial"/>
          <w:sz w:val="22"/>
          <w:szCs w:val="22"/>
        </w:rPr>
        <w:t xml:space="preserve">y </w:t>
      </w:r>
      <w:r w:rsidR="00EB7392" w:rsidRPr="00C74525">
        <w:rPr>
          <w:rFonts w:cs="Arial"/>
          <w:sz w:val="22"/>
          <w:szCs w:val="22"/>
        </w:rPr>
        <w:t>haciendo a la entidad pionera en este trabajo de armonización de los sistemas</w:t>
      </w:r>
      <w:r w:rsidR="00AA7FD0" w:rsidRPr="00C74525">
        <w:rPr>
          <w:rFonts w:cs="Arial"/>
          <w:sz w:val="22"/>
          <w:szCs w:val="22"/>
        </w:rPr>
        <w:t xml:space="preserve"> de gestión</w:t>
      </w:r>
      <w:r w:rsidR="00711EC2" w:rsidRPr="00C74525">
        <w:rPr>
          <w:rFonts w:cs="Arial"/>
          <w:sz w:val="22"/>
          <w:szCs w:val="22"/>
        </w:rPr>
        <w:t>.</w:t>
      </w:r>
    </w:p>
    <w:p w:rsidR="00711EC2" w:rsidRPr="00C74525" w:rsidRDefault="00711EC2" w:rsidP="00C74525">
      <w:pPr>
        <w:rPr>
          <w:rFonts w:cs="Arial"/>
          <w:sz w:val="22"/>
          <w:szCs w:val="22"/>
        </w:rPr>
      </w:pPr>
    </w:p>
    <w:p w:rsidR="003C2B6C" w:rsidRPr="00C74525" w:rsidRDefault="00711EC2" w:rsidP="00C74525">
      <w:pPr>
        <w:rPr>
          <w:rFonts w:cs="Arial"/>
          <w:sz w:val="22"/>
          <w:szCs w:val="22"/>
        </w:rPr>
      </w:pPr>
      <w:r w:rsidRPr="00C74525">
        <w:rPr>
          <w:rFonts w:cs="Arial"/>
          <w:sz w:val="22"/>
          <w:szCs w:val="22"/>
        </w:rPr>
        <w:t>Luego</w:t>
      </w:r>
      <w:r w:rsidR="00AA7FD0" w:rsidRPr="00C74525">
        <w:rPr>
          <w:rFonts w:cs="Arial"/>
          <w:sz w:val="22"/>
          <w:szCs w:val="22"/>
        </w:rPr>
        <w:t xml:space="preserve"> se le fueron sumando otros componentes tales como el de Gestión Ambiental que </w:t>
      </w:r>
      <w:r w:rsidR="0089031C" w:rsidRPr="00C74525">
        <w:rPr>
          <w:rFonts w:cs="Arial"/>
          <w:sz w:val="22"/>
          <w:szCs w:val="22"/>
        </w:rPr>
        <w:t>había iniciado</w:t>
      </w:r>
      <w:r w:rsidR="00AA7FD0" w:rsidRPr="00C74525">
        <w:rPr>
          <w:rFonts w:cs="Arial"/>
          <w:sz w:val="22"/>
          <w:szCs w:val="22"/>
        </w:rPr>
        <w:t xml:space="preserve"> mediant</w:t>
      </w:r>
      <w:r w:rsidR="00DC78AE" w:rsidRPr="00C74525">
        <w:rPr>
          <w:rFonts w:cs="Arial"/>
          <w:sz w:val="22"/>
          <w:szCs w:val="22"/>
        </w:rPr>
        <w:t>e</w:t>
      </w:r>
      <w:r w:rsidR="00AA7FD0" w:rsidRPr="00C74525">
        <w:rPr>
          <w:rFonts w:cs="Arial"/>
          <w:sz w:val="22"/>
          <w:szCs w:val="22"/>
        </w:rPr>
        <w:t xml:space="preserve"> Resolución 0978 de octubre 23 de 2006</w:t>
      </w:r>
      <w:r w:rsidR="00DC78AE" w:rsidRPr="00C74525">
        <w:rPr>
          <w:rFonts w:cs="Arial"/>
          <w:sz w:val="22"/>
          <w:szCs w:val="22"/>
        </w:rPr>
        <w:t xml:space="preserve">, </w:t>
      </w:r>
      <w:r w:rsidRPr="00C74525">
        <w:rPr>
          <w:rFonts w:cs="Arial"/>
          <w:sz w:val="22"/>
          <w:szCs w:val="22"/>
        </w:rPr>
        <w:t>hasta que finalmente e</w:t>
      </w:r>
      <w:r w:rsidR="00243938" w:rsidRPr="00C74525">
        <w:rPr>
          <w:rFonts w:cs="Arial"/>
          <w:sz w:val="22"/>
          <w:szCs w:val="22"/>
        </w:rPr>
        <w:t xml:space="preserve">l Sistema Integrado de Gestión </w:t>
      </w:r>
      <w:r w:rsidR="00DC78AE" w:rsidRPr="00C74525">
        <w:rPr>
          <w:rFonts w:cs="Arial"/>
          <w:sz w:val="22"/>
          <w:szCs w:val="22"/>
        </w:rPr>
        <w:t xml:space="preserve">-SIG </w:t>
      </w:r>
      <w:r w:rsidR="00243938" w:rsidRPr="00C74525">
        <w:rPr>
          <w:rFonts w:cs="Arial"/>
          <w:sz w:val="22"/>
          <w:szCs w:val="22"/>
        </w:rPr>
        <w:t>de la entidad</w:t>
      </w:r>
      <w:r w:rsidR="00DC78AE" w:rsidRPr="00C74525">
        <w:rPr>
          <w:rFonts w:cs="Arial"/>
          <w:sz w:val="22"/>
          <w:szCs w:val="22"/>
        </w:rPr>
        <w:t>,</w:t>
      </w:r>
      <w:r w:rsidR="00243938" w:rsidRPr="00C74525">
        <w:rPr>
          <w:rFonts w:cs="Arial"/>
          <w:sz w:val="22"/>
          <w:szCs w:val="22"/>
        </w:rPr>
        <w:t xml:space="preserve"> </w:t>
      </w:r>
      <w:r w:rsidR="003C2B6C" w:rsidRPr="00C74525">
        <w:rPr>
          <w:rFonts w:cs="Arial"/>
          <w:sz w:val="22"/>
          <w:szCs w:val="22"/>
        </w:rPr>
        <w:t xml:space="preserve">fue </w:t>
      </w:r>
      <w:r w:rsidR="005D67BC" w:rsidRPr="00C74525">
        <w:rPr>
          <w:rFonts w:cs="Arial"/>
          <w:sz w:val="22"/>
          <w:szCs w:val="22"/>
        </w:rPr>
        <w:t>instaurado</w:t>
      </w:r>
      <w:r w:rsidR="003C2B6C" w:rsidRPr="00C74525">
        <w:rPr>
          <w:rFonts w:cs="Arial"/>
          <w:sz w:val="22"/>
          <w:szCs w:val="22"/>
        </w:rPr>
        <w:t xml:space="preserve"> mediante Resolución 769 de septiembre 27 de 2007</w:t>
      </w:r>
      <w:r w:rsidR="005D67BC" w:rsidRPr="00C74525">
        <w:rPr>
          <w:rFonts w:cs="Arial"/>
          <w:sz w:val="22"/>
          <w:szCs w:val="22"/>
        </w:rPr>
        <w:t xml:space="preserve"> “Por la cual se crea el Sistema Integrado de Gestión – SIG de la Secretaría Distrital de Planeación y se dictan otras disposiciones”</w:t>
      </w:r>
      <w:r w:rsidR="003C2B6C" w:rsidRPr="00C74525">
        <w:rPr>
          <w:rFonts w:cs="Arial"/>
          <w:sz w:val="22"/>
          <w:szCs w:val="22"/>
        </w:rPr>
        <w:t>. Desde entonces ha sido objeto de ajustes</w:t>
      </w:r>
      <w:r w:rsidR="005D67BC" w:rsidRPr="00C74525">
        <w:rPr>
          <w:rFonts w:cs="Arial"/>
          <w:sz w:val="22"/>
          <w:szCs w:val="22"/>
        </w:rPr>
        <w:t xml:space="preserve">, </w:t>
      </w:r>
      <w:r w:rsidR="003C2B6C" w:rsidRPr="00C74525">
        <w:rPr>
          <w:rFonts w:cs="Arial"/>
          <w:sz w:val="22"/>
          <w:szCs w:val="22"/>
        </w:rPr>
        <w:t>hasta llegar a la actual Resolución</w:t>
      </w:r>
      <w:r w:rsidRPr="00C74525">
        <w:rPr>
          <w:rFonts w:cs="Arial"/>
          <w:sz w:val="22"/>
          <w:szCs w:val="22"/>
        </w:rPr>
        <w:t xml:space="preserve"> 1508 de septiembre 05 de 2017.</w:t>
      </w:r>
    </w:p>
    <w:p w:rsidR="00243938" w:rsidRPr="00C74525" w:rsidRDefault="00243938" w:rsidP="00C74525">
      <w:pPr>
        <w:rPr>
          <w:rFonts w:cs="Arial"/>
          <w:sz w:val="22"/>
          <w:szCs w:val="22"/>
        </w:rPr>
      </w:pPr>
    </w:p>
    <w:p w:rsidR="00192B24" w:rsidRPr="00C74525" w:rsidRDefault="001A569C" w:rsidP="00C74525">
      <w:pPr>
        <w:rPr>
          <w:rFonts w:cs="Arial"/>
          <w:sz w:val="22"/>
          <w:szCs w:val="22"/>
        </w:rPr>
      </w:pPr>
      <w:r>
        <w:rPr>
          <w:rFonts w:cs="Arial"/>
          <w:sz w:val="22"/>
          <w:szCs w:val="22"/>
        </w:rPr>
        <w:t>Por su parte</w:t>
      </w:r>
      <w:r w:rsidR="00192B24" w:rsidRPr="00C74525">
        <w:rPr>
          <w:rFonts w:cs="Arial"/>
          <w:sz w:val="22"/>
          <w:szCs w:val="22"/>
        </w:rPr>
        <w:t>, el Artículo 4 del Decreto 215 de 2017 establece que “Las Oficinas de Control Interno o quien haga sus veces en las entidades distritales deberán contemplar en el Plan Anual de Auditoría, el seguimiento a la implementación y sostenibilidad del Sistema Integrado de Gestión - SIG, de conformidad con la normatividad vigente, para lo cual reportarán los resultados de la ejecución de las auditorías programadas para tal fin, en el instrumento y bajo la metodología establecida.”.</w:t>
      </w:r>
    </w:p>
    <w:p w:rsidR="00192B24" w:rsidRPr="00C74525" w:rsidRDefault="00192B24" w:rsidP="00C74525">
      <w:pPr>
        <w:rPr>
          <w:rFonts w:cs="Arial"/>
          <w:sz w:val="22"/>
          <w:szCs w:val="22"/>
        </w:rPr>
      </w:pPr>
    </w:p>
    <w:p w:rsidR="00192B24" w:rsidRPr="00C74525" w:rsidRDefault="00192B24" w:rsidP="00C74525">
      <w:pPr>
        <w:rPr>
          <w:rFonts w:cs="Arial"/>
          <w:sz w:val="22"/>
          <w:szCs w:val="22"/>
        </w:rPr>
      </w:pPr>
      <w:r w:rsidRPr="00C74525">
        <w:rPr>
          <w:rFonts w:cs="Arial"/>
          <w:sz w:val="22"/>
          <w:szCs w:val="22"/>
        </w:rPr>
        <w:t>Con la entrada en vigencia de la segunda versión del Modelo Integrado de Planeación y Gestión – MIPG, se generó incertidumbre sobre la aplicación del mencionado artículo, razón por la cual se elevó la consulta respectiva mediante el radicado 2-2019-15313 de marzo 21 de 2019.</w:t>
      </w:r>
    </w:p>
    <w:p w:rsidR="00192B24" w:rsidRPr="00C74525" w:rsidRDefault="00192B24" w:rsidP="00C74525">
      <w:pPr>
        <w:rPr>
          <w:rFonts w:cs="Arial"/>
          <w:sz w:val="22"/>
          <w:szCs w:val="22"/>
        </w:rPr>
      </w:pPr>
    </w:p>
    <w:p w:rsidR="006F123E" w:rsidRPr="00C74525" w:rsidRDefault="00192B24" w:rsidP="00C74525">
      <w:pPr>
        <w:rPr>
          <w:rFonts w:cs="Arial"/>
          <w:sz w:val="22"/>
          <w:szCs w:val="22"/>
        </w:rPr>
      </w:pPr>
      <w:r w:rsidRPr="00C74525">
        <w:rPr>
          <w:rFonts w:cs="Arial"/>
          <w:sz w:val="22"/>
          <w:szCs w:val="22"/>
        </w:rPr>
        <w:t>En tanto se recibe respuesta, p</w:t>
      </w:r>
      <w:r w:rsidR="006F123E" w:rsidRPr="00C74525">
        <w:rPr>
          <w:rFonts w:cs="Arial"/>
          <w:sz w:val="22"/>
          <w:szCs w:val="22"/>
        </w:rPr>
        <w:t xml:space="preserve">ara evaluar la </w:t>
      </w:r>
      <w:r w:rsidR="003B4812" w:rsidRPr="00C74525">
        <w:rPr>
          <w:rFonts w:cs="Arial"/>
          <w:sz w:val="22"/>
          <w:szCs w:val="22"/>
        </w:rPr>
        <w:t>implementación</w:t>
      </w:r>
      <w:r w:rsidR="00203DB5" w:rsidRPr="00C74525">
        <w:rPr>
          <w:rFonts w:cs="Arial"/>
          <w:sz w:val="22"/>
          <w:szCs w:val="22"/>
        </w:rPr>
        <w:t xml:space="preserve"> </w:t>
      </w:r>
      <w:r w:rsidR="00907D02" w:rsidRPr="00C74525">
        <w:rPr>
          <w:rFonts w:cs="Arial"/>
          <w:sz w:val="22"/>
          <w:szCs w:val="22"/>
        </w:rPr>
        <w:t xml:space="preserve">y la sostenibilidad </w:t>
      </w:r>
      <w:r w:rsidR="00203DB5" w:rsidRPr="00C74525">
        <w:rPr>
          <w:rFonts w:cs="Arial"/>
          <w:sz w:val="22"/>
          <w:szCs w:val="22"/>
        </w:rPr>
        <w:t>del Sistema Integrado de Gestión – SIG</w:t>
      </w:r>
      <w:r w:rsidR="003B4812" w:rsidRPr="00C74525">
        <w:rPr>
          <w:rFonts w:cs="Arial"/>
          <w:sz w:val="22"/>
          <w:szCs w:val="22"/>
        </w:rPr>
        <w:t xml:space="preserve"> </w:t>
      </w:r>
      <w:r w:rsidR="002E3D57" w:rsidRPr="00C74525">
        <w:rPr>
          <w:rFonts w:cs="Arial"/>
          <w:sz w:val="22"/>
          <w:szCs w:val="22"/>
        </w:rPr>
        <w:t xml:space="preserve">para el presente corte </w:t>
      </w:r>
      <w:r w:rsidR="006F123E" w:rsidRPr="00C74525">
        <w:rPr>
          <w:rFonts w:cs="Arial"/>
          <w:sz w:val="22"/>
          <w:szCs w:val="22"/>
        </w:rPr>
        <w:t>se tomaron</w:t>
      </w:r>
      <w:r w:rsidR="002E3D57" w:rsidRPr="00C74525">
        <w:rPr>
          <w:rFonts w:cs="Arial"/>
          <w:sz w:val="22"/>
          <w:szCs w:val="22"/>
        </w:rPr>
        <w:t>,</w:t>
      </w:r>
      <w:r w:rsidR="006F123E" w:rsidRPr="00C74525">
        <w:rPr>
          <w:rFonts w:cs="Arial"/>
          <w:sz w:val="22"/>
          <w:szCs w:val="22"/>
        </w:rPr>
        <w:t xml:space="preserve"> </w:t>
      </w:r>
      <w:r w:rsidR="002E3D57" w:rsidRPr="00C74525">
        <w:rPr>
          <w:rFonts w:cs="Arial"/>
          <w:sz w:val="22"/>
          <w:szCs w:val="22"/>
        </w:rPr>
        <w:t xml:space="preserve">para el análisis respectivo, </w:t>
      </w:r>
      <w:r w:rsidR="006F123E" w:rsidRPr="00C74525">
        <w:rPr>
          <w:rFonts w:cs="Arial"/>
          <w:sz w:val="22"/>
          <w:szCs w:val="22"/>
        </w:rPr>
        <w:t>algunas de las variables que lo conforman</w:t>
      </w:r>
      <w:r w:rsidR="00907D02" w:rsidRPr="00C74525">
        <w:rPr>
          <w:rFonts w:cs="Arial"/>
          <w:sz w:val="22"/>
          <w:szCs w:val="22"/>
        </w:rPr>
        <w:t xml:space="preserve">, </w:t>
      </w:r>
      <w:r w:rsidR="00E53C84" w:rsidRPr="00C74525">
        <w:rPr>
          <w:rFonts w:cs="Arial"/>
          <w:sz w:val="22"/>
          <w:szCs w:val="22"/>
        </w:rPr>
        <w:t xml:space="preserve">ellas son: </w:t>
      </w:r>
    </w:p>
    <w:p w:rsidR="00AD5C38" w:rsidRPr="00C74525" w:rsidRDefault="00AD5C38" w:rsidP="00C74525">
      <w:pPr>
        <w:rPr>
          <w:rFonts w:cs="Arial"/>
          <w:sz w:val="22"/>
          <w:szCs w:val="22"/>
        </w:rPr>
      </w:pPr>
    </w:p>
    <w:p w:rsidR="00A35A44" w:rsidRPr="00C74525" w:rsidRDefault="00A35A44" w:rsidP="00C74525">
      <w:pPr>
        <w:jc w:val="center"/>
        <w:rPr>
          <w:rFonts w:cs="Arial"/>
          <w:sz w:val="18"/>
          <w:szCs w:val="18"/>
        </w:rPr>
      </w:pPr>
      <w:r w:rsidRPr="00C74525">
        <w:rPr>
          <w:rFonts w:cs="Arial"/>
          <w:sz w:val="18"/>
          <w:szCs w:val="18"/>
        </w:rPr>
        <w:t xml:space="preserve">Tabla </w:t>
      </w:r>
      <w:r w:rsidR="00F750CB" w:rsidRPr="00C74525">
        <w:rPr>
          <w:rFonts w:cs="Arial"/>
          <w:sz w:val="18"/>
          <w:szCs w:val="18"/>
        </w:rPr>
        <w:t>1</w:t>
      </w:r>
      <w:r w:rsidRPr="00C74525">
        <w:rPr>
          <w:rFonts w:cs="Arial"/>
          <w:sz w:val="18"/>
          <w:szCs w:val="18"/>
        </w:rPr>
        <w:t>: Asuntos del SIG por proceso</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95"/>
        <w:gridCol w:w="544"/>
        <w:gridCol w:w="567"/>
        <w:gridCol w:w="636"/>
        <w:gridCol w:w="708"/>
        <w:gridCol w:w="851"/>
        <w:gridCol w:w="850"/>
        <w:gridCol w:w="851"/>
      </w:tblGrid>
      <w:tr w:rsidR="00AD5C38" w:rsidRPr="00C74525" w:rsidTr="00C74525">
        <w:trPr>
          <w:cantSplit/>
          <w:trHeight w:val="1387"/>
          <w:tblHeader/>
          <w:jc w:val="center"/>
        </w:trPr>
        <w:tc>
          <w:tcPr>
            <w:tcW w:w="3995" w:type="dxa"/>
            <w:tcBorders>
              <w:top w:val="single" w:sz="2" w:space="0" w:color="auto"/>
              <w:left w:val="single" w:sz="2" w:space="0" w:color="auto"/>
              <w:bottom w:val="single" w:sz="2" w:space="0" w:color="auto"/>
              <w:right w:val="single" w:sz="2" w:space="0" w:color="auto"/>
            </w:tcBorders>
            <w:shd w:val="clear" w:color="auto" w:fill="BFBFBF"/>
            <w:vAlign w:val="center"/>
            <w:hideMark/>
          </w:tcPr>
          <w:p w:rsidR="00AD5C38" w:rsidRPr="00C74525" w:rsidRDefault="00AD5C38" w:rsidP="00C74525">
            <w:pPr>
              <w:jc w:val="left"/>
              <w:rPr>
                <w:rFonts w:cs="Arial"/>
                <w:b/>
                <w:sz w:val="18"/>
                <w:szCs w:val="18"/>
                <w:lang w:val="es-ES" w:eastAsia="es-ES"/>
              </w:rPr>
            </w:pPr>
            <w:r w:rsidRPr="00C74525">
              <w:rPr>
                <w:rFonts w:cs="Arial"/>
                <w:b/>
                <w:sz w:val="18"/>
                <w:szCs w:val="18"/>
                <w:lang w:val="es-ES" w:eastAsia="es-ES"/>
              </w:rPr>
              <w:t>Proceso</w:t>
            </w:r>
          </w:p>
        </w:tc>
        <w:tc>
          <w:tcPr>
            <w:tcW w:w="544" w:type="dxa"/>
            <w:tcBorders>
              <w:top w:val="single" w:sz="2" w:space="0" w:color="auto"/>
              <w:left w:val="single" w:sz="2" w:space="0" w:color="auto"/>
              <w:bottom w:val="single" w:sz="4" w:space="0" w:color="auto"/>
              <w:right w:val="single" w:sz="2"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Riesgos</w:t>
            </w:r>
          </w:p>
        </w:tc>
        <w:tc>
          <w:tcPr>
            <w:tcW w:w="567" w:type="dxa"/>
            <w:tcBorders>
              <w:top w:val="single" w:sz="2" w:space="0" w:color="auto"/>
              <w:left w:val="single" w:sz="2" w:space="0" w:color="auto"/>
              <w:bottom w:val="single" w:sz="4" w:space="0" w:color="auto"/>
              <w:right w:val="single" w:sz="2"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Controles</w:t>
            </w:r>
          </w:p>
        </w:tc>
        <w:tc>
          <w:tcPr>
            <w:tcW w:w="636" w:type="dxa"/>
            <w:tcBorders>
              <w:top w:val="single" w:sz="2" w:space="0" w:color="auto"/>
              <w:left w:val="single" w:sz="2" w:space="0" w:color="auto"/>
              <w:bottom w:val="single" w:sz="4" w:space="0" w:color="auto"/>
              <w:right w:val="single" w:sz="2"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Planes de mejora</w:t>
            </w:r>
          </w:p>
        </w:tc>
        <w:tc>
          <w:tcPr>
            <w:tcW w:w="708" w:type="dxa"/>
            <w:tcBorders>
              <w:top w:val="single" w:sz="2" w:space="0" w:color="auto"/>
              <w:left w:val="single" w:sz="2" w:space="0" w:color="auto"/>
              <w:bottom w:val="single" w:sz="4" w:space="0" w:color="auto"/>
              <w:right w:val="single" w:sz="2"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Acciones de mejora</w:t>
            </w:r>
          </w:p>
        </w:tc>
        <w:tc>
          <w:tcPr>
            <w:tcW w:w="851" w:type="dxa"/>
            <w:tcBorders>
              <w:top w:val="single" w:sz="2" w:space="0" w:color="auto"/>
              <w:left w:val="single" w:sz="2" w:space="0" w:color="auto"/>
              <w:bottom w:val="single" w:sz="4" w:space="0" w:color="auto"/>
              <w:right w:val="single" w:sz="2"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Documentos SIG</w:t>
            </w:r>
          </w:p>
        </w:tc>
        <w:tc>
          <w:tcPr>
            <w:tcW w:w="850" w:type="dxa"/>
            <w:tcBorders>
              <w:top w:val="single" w:sz="2" w:space="0" w:color="auto"/>
              <w:left w:val="single" w:sz="2" w:space="0" w:color="auto"/>
              <w:bottom w:val="single" w:sz="4" w:space="0" w:color="auto"/>
              <w:right w:val="single" w:sz="4"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Indicadores</w:t>
            </w:r>
          </w:p>
        </w:tc>
        <w:tc>
          <w:tcPr>
            <w:tcW w:w="851" w:type="dxa"/>
            <w:tcBorders>
              <w:top w:val="single" w:sz="4" w:space="0" w:color="auto"/>
              <w:left w:val="single" w:sz="4" w:space="0" w:color="auto"/>
              <w:bottom w:val="single" w:sz="4" w:space="0" w:color="auto"/>
              <w:right w:val="single" w:sz="4" w:space="0" w:color="auto"/>
            </w:tcBorders>
            <w:shd w:val="clear" w:color="auto" w:fill="BFBFBF"/>
            <w:textDirection w:val="btLr"/>
            <w:vAlign w:val="center"/>
          </w:tcPr>
          <w:p w:rsidR="00AD5C38" w:rsidRPr="00C74525" w:rsidRDefault="00AD5C38" w:rsidP="00C74525">
            <w:pPr>
              <w:ind w:left="113" w:right="113"/>
              <w:jc w:val="center"/>
              <w:rPr>
                <w:rFonts w:cs="Arial"/>
                <w:b/>
                <w:sz w:val="18"/>
                <w:szCs w:val="18"/>
                <w:lang w:val="es-ES" w:eastAsia="es-ES"/>
              </w:rPr>
            </w:pPr>
            <w:r w:rsidRPr="00C74525">
              <w:rPr>
                <w:rFonts w:cs="Arial"/>
                <w:b/>
                <w:sz w:val="18"/>
                <w:szCs w:val="18"/>
                <w:lang w:val="es-ES" w:eastAsia="es-ES"/>
              </w:rPr>
              <w:t>Actividades del PHVA</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Direccionamiento estratégico</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5</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47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41</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22</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Participación y comunicación</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3</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28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39</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15</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15</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Planeación territorial y gestión de instrumentos</w:t>
            </w:r>
          </w:p>
        </w:tc>
        <w:tc>
          <w:tcPr>
            <w:tcW w:w="544" w:type="dxa"/>
            <w:tcBorders>
              <w:top w:val="single" w:sz="4" w:space="0" w:color="auto"/>
              <w:left w:val="single" w:sz="4" w:space="0" w:color="auto"/>
              <w:bottom w:val="single" w:sz="12"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5</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16</w:t>
            </w:r>
          </w:p>
        </w:tc>
        <w:tc>
          <w:tcPr>
            <w:tcW w:w="636" w:type="dxa"/>
            <w:tcBorders>
              <w:top w:val="single" w:sz="4" w:space="0" w:color="auto"/>
              <w:left w:val="single" w:sz="4" w:space="0" w:color="auto"/>
              <w:bottom w:val="single" w:sz="12"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79</w:t>
            </w:r>
          </w:p>
        </w:tc>
        <w:tc>
          <w:tcPr>
            <w:tcW w:w="850" w:type="dxa"/>
            <w:tcBorders>
              <w:top w:val="single" w:sz="4" w:space="0" w:color="auto"/>
              <w:left w:val="single" w:sz="4" w:space="0" w:color="auto"/>
              <w:bottom w:val="single" w:sz="12"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20</w:t>
            </w:r>
          </w:p>
        </w:tc>
        <w:tc>
          <w:tcPr>
            <w:tcW w:w="851" w:type="dxa"/>
            <w:tcBorders>
              <w:top w:val="single" w:sz="4" w:space="0" w:color="auto"/>
              <w:left w:val="single" w:sz="4" w:space="0" w:color="auto"/>
              <w:bottom w:val="single" w:sz="12"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20</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Coordinación de las políticas públicas</w:t>
            </w:r>
          </w:p>
        </w:tc>
        <w:tc>
          <w:tcPr>
            <w:tcW w:w="544" w:type="dxa"/>
            <w:tcBorders>
              <w:top w:val="single" w:sz="12" w:space="0" w:color="auto"/>
              <w:left w:val="single" w:sz="12" w:space="0" w:color="auto"/>
              <w:bottom w:val="single" w:sz="12" w:space="0" w:color="auto"/>
              <w:right w:val="single" w:sz="12"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7</w:t>
            </w:r>
          </w:p>
        </w:tc>
        <w:tc>
          <w:tcPr>
            <w:tcW w:w="567" w:type="dxa"/>
            <w:tcBorders>
              <w:top w:val="single" w:sz="4" w:space="0" w:color="auto"/>
              <w:left w:val="single" w:sz="12" w:space="0" w:color="auto"/>
              <w:bottom w:val="single" w:sz="4" w:space="0" w:color="auto"/>
              <w:right w:val="single" w:sz="12"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11</w:t>
            </w:r>
          </w:p>
        </w:tc>
        <w:tc>
          <w:tcPr>
            <w:tcW w:w="636" w:type="dxa"/>
            <w:tcBorders>
              <w:top w:val="single" w:sz="12" w:space="0" w:color="auto"/>
              <w:left w:val="single" w:sz="12" w:space="0" w:color="auto"/>
              <w:bottom w:val="single" w:sz="12" w:space="0" w:color="auto"/>
              <w:right w:val="single" w:sz="12"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17</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25</w:t>
            </w: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80</w:t>
            </w:r>
          </w:p>
        </w:tc>
        <w:tc>
          <w:tcPr>
            <w:tcW w:w="850" w:type="dxa"/>
            <w:tcBorders>
              <w:top w:val="single" w:sz="12" w:space="0" w:color="auto"/>
              <w:left w:val="single" w:sz="12" w:space="0" w:color="auto"/>
              <w:bottom w:val="single" w:sz="12" w:space="0" w:color="auto"/>
              <w:right w:val="single" w:sz="12"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53</w:t>
            </w:r>
          </w:p>
        </w:tc>
        <w:tc>
          <w:tcPr>
            <w:tcW w:w="851" w:type="dxa"/>
            <w:tcBorders>
              <w:top w:val="single" w:sz="12" w:space="0" w:color="auto"/>
              <w:left w:val="single" w:sz="12" w:space="0" w:color="auto"/>
              <w:bottom w:val="single" w:sz="12" w:space="0" w:color="auto"/>
              <w:right w:val="single" w:sz="12"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66</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Producción análisis y divulgación</w:t>
            </w:r>
          </w:p>
        </w:tc>
        <w:tc>
          <w:tcPr>
            <w:tcW w:w="544" w:type="dxa"/>
            <w:tcBorders>
              <w:top w:val="single" w:sz="12"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4</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38</w:t>
            </w:r>
          </w:p>
        </w:tc>
        <w:tc>
          <w:tcPr>
            <w:tcW w:w="636" w:type="dxa"/>
            <w:tcBorders>
              <w:top w:val="single" w:sz="12"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8</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50</w:t>
            </w:r>
          </w:p>
        </w:tc>
        <w:tc>
          <w:tcPr>
            <w:tcW w:w="850" w:type="dxa"/>
            <w:tcBorders>
              <w:top w:val="single" w:sz="12"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29</w:t>
            </w:r>
          </w:p>
        </w:tc>
        <w:tc>
          <w:tcPr>
            <w:tcW w:w="851" w:type="dxa"/>
            <w:tcBorders>
              <w:top w:val="single" w:sz="12"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19</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Administración del talento humano</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6</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41</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10</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22</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105</w:t>
            </w:r>
          </w:p>
        </w:tc>
        <w:tc>
          <w:tcPr>
            <w:tcW w:w="850" w:type="dxa"/>
            <w:tcBorders>
              <w:top w:val="single" w:sz="4" w:space="0" w:color="auto"/>
              <w:left w:val="single" w:sz="12"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10</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36</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Administración de recursos financieros</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4</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44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3</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45</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25</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Administración de recursos físicos</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5</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24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57</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31</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Gestión documental</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4</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14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73</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21</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Soporte tecnológico</w:t>
            </w:r>
          </w:p>
        </w:tc>
        <w:tc>
          <w:tcPr>
            <w:tcW w:w="544" w:type="dxa"/>
            <w:tcBorders>
              <w:top w:val="single" w:sz="4" w:space="0" w:color="auto"/>
              <w:left w:val="single" w:sz="4" w:space="0" w:color="auto"/>
              <w:bottom w:val="single" w:sz="12"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4</w:t>
            </w:r>
          </w:p>
        </w:tc>
        <w:tc>
          <w:tcPr>
            <w:tcW w:w="567" w:type="dxa"/>
            <w:tcBorders>
              <w:top w:val="single" w:sz="4" w:space="0" w:color="auto"/>
              <w:left w:val="single" w:sz="4" w:space="0" w:color="auto"/>
              <w:bottom w:val="single" w:sz="12"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15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60</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26</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12"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Contratación de bienes y servicios</w:t>
            </w:r>
          </w:p>
        </w:tc>
        <w:tc>
          <w:tcPr>
            <w:tcW w:w="544" w:type="dxa"/>
            <w:tcBorders>
              <w:top w:val="single" w:sz="12" w:space="0" w:color="auto"/>
              <w:left w:val="single" w:sz="12" w:space="0" w:color="auto"/>
              <w:bottom w:val="single" w:sz="12" w:space="0" w:color="auto"/>
              <w:right w:val="single" w:sz="12"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7</w:t>
            </w:r>
          </w:p>
        </w:tc>
        <w:tc>
          <w:tcPr>
            <w:tcW w:w="567" w:type="dxa"/>
            <w:tcBorders>
              <w:top w:val="single" w:sz="12" w:space="0" w:color="auto"/>
              <w:left w:val="single" w:sz="12" w:space="0" w:color="auto"/>
              <w:bottom w:val="single" w:sz="12" w:space="0" w:color="auto"/>
              <w:right w:val="single" w:sz="12"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54</w:t>
            </w:r>
          </w:p>
        </w:tc>
        <w:tc>
          <w:tcPr>
            <w:tcW w:w="636" w:type="dxa"/>
            <w:tcBorders>
              <w:top w:val="single" w:sz="4" w:space="0" w:color="auto"/>
              <w:left w:val="single" w:sz="12"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29</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28</w:t>
            </w:r>
          </w:p>
        </w:tc>
      </w:tr>
      <w:tr w:rsidR="00510988" w:rsidRPr="00C74525" w:rsidTr="00510988">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Soporte Legal</w:t>
            </w:r>
          </w:p>
        </w:tc>
        <w:tc>
          <w:tcPr>
            <w:tcW w:w="544" w:type="dxa"/>
            <w:tcBorders>
              <w:top w:val="single" w:sz="12"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3</w:t>
            </w:r>
          </w:p>
        </w:tc>
        <w:tc>
          <w:tcPr>
            <w:tcW w:w="567" w:type="dxa"/>
            <w:tcBorders>
              <w:top w:val="single" w:sz="12"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27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17</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13</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22</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Evaluación y control</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2</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5</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20</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14</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Mejoramiento continuo</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3</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24</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5</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15</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4" w:space="0" w:color="auto"/>
            </w:tcBorders>
            <w:shd w:val="clear" w:color="auto" w:fill="auto"/>
            <w:vAlign w:val="center"/>
            <w:hideMark/>
          </w:tcPr>
          <w:p w:rsidR="00510988" w:rsidRPr="00C74525" w:rsidRDefault="00510988" w:rsidP="00C74525">
            <w:pPr>
              <w:jc w:val="left"/>
              <w:rPr>
                <w:rFonts w:cs="Arial"/>
                <w:sz w:val="18"/>
                <w:szCs w:val="18"/>
                <w:lang w:val="es-ES" w:eastAsia="es-ES"/>
              </w:rPr>
            </w:pPr>
            <w:r w:rsidRPr="00C74525">
              <w:rPr>
                <w:rFonts w:cs="Arial"/>
                <w:sz w:val="18"/>
                <w:szCs w:val="18"/>
                <w:lang w:val="es-ES" w:eastAsia="es-ES"/>
              </w:rPr>
              <w:t>Control Interno Disciplinario</w:t>
            </w:r>
          </w:p>
        </w:tc>
        <w:tc>
          <w:tcPr>
            <w:tcW w:w="544"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sz w:val="18"/>
                <w:szCs w:val="18"/>
                <w:lang w:val="es-ES" w:eastAsia="es-ES"/>
              </w:rPr>
            </w:pPr>
            <w:r w:rsidRPr="00510988">
              <w:rPr>
                <w:rFonts w:cs="Arial"/>
                <w:sz w:val="18"/>
                <w:szCs w:val="18"/>
                <w:lang w:val="es-ES" w:eastAsia="es-ES"/>
              </w:rPr>
              <w:t>5</w:t>
            </w:r>
          </w:p>
        </w:tc>
        <w:tc>
          <w:tcPr>
            <w:tcW w:w="567" w:type="dxa"/>
            <w:tcBorders>
              <w:top w:val="single" w:sz="4" w:space="0" w:color="auto"/>
              <w:left w:val="single" w:sz="4" w:space="0" w:color="auto"/>
              <w:bottom w:val="single" w:sz="4" w:space="0" w:color="auto"/>
              <w:right w:val="single" w:sz="4" w:space="0" w:color="auto"/>
            </w:tcBorders>
            <w:vAlign w:val="bottom"/>
          </w:tcPr>
          <w:p w:rsidR="00510988" w:rsidRPr="00510988" w:rsidRDefault="00510988" w:rsidP="00D45663">
            <w:pPr>
              <w:jc w:val="center"/>
              <w:rPr>
                <w:rFonts w:cs="Arial"/>
                <w:color w:val="000000"/>
                <w:sz w:val="18"/>
                <w:szCs w:val="18"/>
                <w:lang w:val="es-ES" w:eastAsia="es-ES"/>
              </w:rPr>
            </w:pPr>
            <w:r w:rsidRPr="00510988">
              <w:rPr>
                <w:rFonts w:cs="Arial"/>
                <w:color w:val="000000"/>
                <w:sz w:val="18"/>
                <w:szCs w:val="18"/>
                <w:lang w:val="es-ES" w:eastAsia="es-ES"/>
              </w:rPr>
              <w:t>28</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13</w:t>
            </w:r>
          </w:p>
        </w:tc>
        <w:tc>
          <w:tcPr>
            <w:tcW w:w="850" w:type="dxa"/>
            <w:tcBorders>
              <w:top w:val="single" w:sz="4" w:space="0" w:color="auto"/>
              <w:left w:val="single" w:sz="4" w:space="0" w:color="auto"/>
              <w:bottom w:val="single" w:sz="4" w:space="0" w:color="auto"/>
              <w:right w:val="single" w:sz="4" w:space="0" w:color="auto"/>
            </w:tcBorders>
            <w:vAlign w:val="center"/>
          </w:tcPr>
          <w:p w:rsidR="00510988" w:rsidRPr="00C74525" w:rsidRDefault="00510988" w:rsidP="00C74525">
            <w:pPr>
              <w:jc w:val="center"/>
              <w:rPr>
                <w:rFonts w:cs="Arial"/>
                <w:sz w:val="18"/>
                <w:szCs w:val="18"/>
                <w:lang w:val="es-ES" w:eastAsia="es-ES"/>
              </w:rPr>
            </w:pPr>
            <w:r w:rsidRPr="00C74525">
              <w:rPr>
                <w:rFonts w:cs="Arial"/>
                <w:sz w:val="18"/>
                <w:szCs w:val="18"/>
                <w:lang w:val="es-ES" w:eastAsia="es-ES"/>
              </w:rPr>
              <w:t>4</w:t>
            </w:r>
          </w:p>
        </w:tc>
        <w:tc>
          <w:tcPr>
            <w:tcW w:w="851" w:type="dxa"/>
            <w:tcBorders>
              <w:top w:val="single" w:sz="4" w:space="0" w:color="auto"/>
              <w:left w:val="single" w:sz="4" w:space="0" w:color="auto"/>
              <w:bottom w:val="single" w:sz="4" w:space="0" w:color="auto"/>
              <w:right w:val="single" w:sz="4" w:space="0" w:color="auto"/>
            </w:tcBorders>
            <w:vAlign w:val="bottom"/>
          </w:tcPr>
          <w:p w:rsidR="00510988" w:rsidRPr="00C74525" w:rsidRDefault="00510988" w:rsidP="00C74525">
            <w:pPr>
              <w:jc w:val="center"/>
              <w:rPr>
                <w:rFonts w:cs="Arial"/>
                <w:color w:val="000000"/>
                <w:sz w:val="18"/>
                <w:szCs w:val="18"/>
                <w:lang w:val="es-ES" w:eastAsia="es-ES"/>
              </w:rPr>
            </w:pPr>
            <w:r w:rsidRPr="00C74525">
              <w:rPr>
                <w:rFonts w:cs="Arial"/>
                <w:color w:val="000000"/>
                <w:sz w:val="18"/>
                <w:szCs w:val="18"/>
                <w:lang w:val="es-ES" w:eastAsia="es-ES"/>
              </w:rPr>
              <w:t>12</w:t>
            </w:r>
          </w:p>
        </w:tc>
      </w:tr>
      <w:tr w:rsidR="00510988" w:rsidRPr="00C74525" w:rsidTr="00234B5D">
        <w:trPr>
          <w:cantSplit/>
          <w:trHeight w:val="20"/>
          <w:jc w:val="center"/>
        </w:trPr>
        <w:tc>
          <w:tcPr>
            <w:tcW w:w="3995" w:type="dxa"/>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510988" w:rsidRPr="00C74525" w:rsidRDefault="00510988" w:rsidP="00C74525">
            <w:pPr>
              <w:jc w:val="left"/>
              <w:rPr>
                <w:rFonts w:cs="Arial"/>
                <w:b/>
                <w:sz w:val="18"/>
                <w:szCs w:val="18"/>
                <w:lang w:val="es-ES" w:eastAsia="es-ES"/>
              </w:rPr>
            </w:pPr>
            <w:r w:rsidRPr="00C74525">
              <w:rPr>
                <w:rFonts w:cs="Arial"/>
                <w:b/>
                <w:sz w:val="18"/>
                <w:szCs w:val="18"/>
                <w:lang w:val="es-ES" w:eastAsia="es-ES"/>
              </w:rPr>
              <w:t>Total</w:t>
            </w:r>
          </w:p>
        </w:tc>
        <w:tc>
          <w:tcPr>
            <w:tcW w:w="544" w:type="dxa"/>
            <w:tcBorders>
              <w:top w:val="single" w:sz="4" w:space="0" w:color="auto"/>
              <w:left w:val="single" w:sz="2" w:space="0" w:color="auto"/>
              <w:bottom w:val="single" w:sz="2" w:space="0" w:color="auto"/>
              <w:right w:val="single" w:sz="2" w:space="0" w:color="auto"/>
            </w:tcBorders>
            <w:shd w:val="clear" w:color="auto" w:fill="BFBFBF"/>
            <w:vAlign w:val="bottom"/>
          </w:tcPr>
          <w:p w:rsidR="00510988" w:rsidRPr="00510988" w:rsidRDefault="00510988" w:rsidP="00D45663">
            <w:pPr>
              <w:jc w:val="center"/>
              <w:rPr>
                <w:rFonts w:cs="Arial"/>
                <w:b/>
                <w:bCs/>
                <w:sz w:val="18"/>
                <w:szCs w:val="18"/>
                <w:lang w:val="es-ES" w:eastAsia="es-ES"/>
              </w:rPr>
            </w:pPr>
            <w:r w:rsidRPr="00510988">
              <w:rPr>
                <w:rFonts w:cs="Arial"/>
                <w:b/>
                <w:bCs/>
                <w:sz w:val="18"/>
                <w:szCs w:val="18"/>
                <w:lang w:val="es-ES" w:eastAsia="es-ES"/>
              </w:rPr>
              <w:t>67</w:t>
            </w:r>
          </w:p>
        </w:tc>
        <w:tc>
          <w:tcPr>
            <w:tcW w:w="567" w:type="dxa"/>
            <w:tcBorders>
              <w:top w:val="single" w:sz="4" w:space="0" w:color="auto"/>
              <w:left w:val="single" w:sz="2" w:space="0" w:color="auto"/>
              <w:bottom w:val="single" w:sz="2" w:space="0" w:color="auto"/>
              <w:right w:val="single" w:sz="2" w:space="0" w:color="auto"/>
            </w:tcBorders>
            <w:shd w:val="clear" w:color="auto" w:fill="BFBFBF"/>
            <w:vAlign w:val="bottom"/>
          </w:tcPr>
          <w:p w:rsidR="00510988" w:rsidRPr="00510988" w:rsidRDefault="00510988" w:rsidP="00D45663">
            <w:pPr>
              <w:jc w:val="center"/>
              <w:rPr>
                <w:rFonts w:cs="Arial"/>
                <w:b/>
                <w:bCs/>
                <w:sz w:val="18"/>
                <w:szCs w:val="18"/>
                <w:lang w:val="es-ES" w:eastAsia="es-ES"/>
              </w:rPr>
            </w:pPr>
            <w:r w:rsidRPr="00510988">
              <w:rPr>
                <w:rFonts w:cs="Arial"/>
                <w:b/>
                <w:bCs/>
                <w:sz w:val="18"/>
                <w:szCs w:val="18"/>
                <w:lang w:val="es-ES" w:eastAsia="es-ES"/>
              </w:rPr>
              <w:t>416</w:t>
            </w:r>
          </w:p>
        </w:tc>
        <w:tc>
          <w:tcPr>
            <w:tcW w:w="636" w:type="dxa"/>
            <w:tcBorders>
              <w:top w:val="single" w:sz="4" w:space="0" w:color="auto"/>
              <w:left w:val="single" w:sz="2" w:space="0" w:color="auto"/>
              <w:bottom w:val="single" w:sz="2" w:space="0" w:color="auto"/>
              <w:right w:val="single" w:sz="2" w:space="0" w:color="auto"/>
            </w:tcBorders>
            <w:shd w:val="clear" w:color="auto" w:fill="BFBFBF"/>
            <w:vAlign w:val="center"/>
          </w:tcPr>
          <w:p w:rsidR="00510988" w:rsidRPr="00C74525" w:rsidRDefault="00510988" w:rsidP="00C74525">
            <w:pPr>
              <w:jc w:val="center"/>
              <w:rPr>
                <w:rFonts w:cs="Arial"/>
                <w:b/>
                <w:sz w:val="18"/>
                <w:szCs w:val="18"/>
                <w:lang w:val="es-ES" w:eastAsia="es-ES"/>
              </w:rPr>
            </w:pPr>
            <w:r w:rsidRPr="00C74525">
              <w:rPr>
                <w:rFonts w:cs="Arial"/>
                <w:b/>
                <w:sz w:val="18"/>
                <w:szCs w:val="18"/>
                <w:lang w:val="es-ES" w:eastAsia="es-ES"/>
              </w:rPr>
              <w:t>91</w:t>
            </w:r>
          </w:p>
        </w:tc>
        <w:tc>
          <w:tcPr>
            <w:tcW w:w="708" w:type="dxa"/>
            <w:tcBorders>
              <w:top w:val="single" w:sz="4" w:space="0" w:color="auto"/>
              <w:left w:val="single" w:sz="2" w:space="0" w:color="auto"/>
              <w:bottom w:val="single" w:sz="2" w:space="0" w:color="auto"/>
              <w:right w:val="single" w:sz="2" w:space="0" w:color="auto"/>
            </w:tcBorders>
            <w:shd w:val="clear" w:color="auto" w:fill="BFBFBF"/>
            <w:vAlign w:val="bottom"/>
          </w:tcPr>
          <w:p w:rsidR="00510988" w:rsidRPr="00C74525" w:rsidRDefault="00510988" w:rsidP="00C74525">
            <w:pPr>
              <w:jc w:val="center"/>
              <w:rPr>
                <w:rFonts w:cs="Arial"/>
                <w:b/>
                <w:bCs/>
                <w:sz w:val="18"/>
                <w:szCs w:val="18"/>
                <w:lang w:val="es-ES" w:eastAsia="es-ES"/>
              </w:rPr>
            </w:pPr>
            <w:r w:rsidRPr="00C74525">
              <w:rPr>
                <w:rFonts w:cs="Arial"/>
                <w:b/>
                <w:bCs/>
                <w:sz w:val="18"/>
                <w:szCs w:val="18"/>
                <w:lang w:val="es-ES" w:eastAsia="es-ES"/>
              </w:rPr>
              <w:t>188</w:t>
            </w:r>
          </w:p>
        </w:tc>
        <w:tc>
          <w:tcPr>
            <w:tcW w:w="851" w:type="dxa"/>
            <w:tcBorders>
              <w:top w:val="single" w:sz="4" w:space="0" w:color="auto"/>
              <w:left w:val="single" w:sz="2" w:space="0" w:color="auto"/>
              <w:bottom w:val="single" w:sz="2" w:space="0" w:color="auto"/>
              <w:right w:val="single" w:sz="2" w:space="0" w:color="auto"/>
            </w:tcBorders>
            <w:shd w:val="clear" w:color="auto" w:fill="BFBFBF"/>
            <w:vAlign w:val="center"/>
          </w:tcPr>
          <w:p w:rsidR="00510988" w:rsidRPr="00C74525" w:rsidRDefault="00510988" w:rsidP="00C74525">
            <w:pPr>
              <w:jc w:val="center"/>
              <w:rPr>
                <w:rFonts w:cs="Arial"/>
                <w:b/>
                <w:sz w:val="18"/>
                <w:szCs w:val="18"/>
                <w:lang w:val="es-ES" w:eastAsia="es-ES"/>
              </w:rPr>
            </w:pPr>
            <w:r w:rsidRPr="00C74525">
              <w:rPr>
                <w:rFonts w:cs="Arial"/>
                <w:b/>
                <w:sz w:val="18"/>
                <w:szCs w:val="18"/>
                <w:lang w:val="es-ES" w:eastAsia="es-ES"/>
              </w:rPr>
              <w:t>712</w:t>
            </w:r>
          </w:p>
        </w:tc>
        <w:tc>
          <w:tcPr>
            <w:tcW w:w="850" w:type="dxa"/>
            <w:tcBorders>
              <w:top w:val="single" w:sz="4" w:space="0" w:color="auto"/>
              <w:left w:val="single" w:sz="2" w:space="0" w:color="auto"/>
              <w:bottom w:val="single" w:sz="2" w:space="0" w:color="auto"/>
              <w:right w:val="single" w:sz="4" w:space="0" w:color="auto"/>
            </w:tcBorders>
            <w:shd w:val="clear" w:color="auto" w:fill="BFBFBF"/>
            <w:vAlign w:val="center"/>
          </w:tcPr>
          <w:p w:rsidR="00510988" w:rsidRPr="00C74525" w:rsidRDefault="00510988" w:rsidP="00C74525">
            <w:pPr>
              <w:jc w:val="center"/>
              <w:rPr>
                <w:rFonts w:cs="Arial"/>
                <w:b/>
                <w:sz w:val="18"/>
                <w:szCs w:val="18"/>
                <w:lang w:val="es-ES" w:eastAsia="es-ES"/>
              </w:rPr>
            </w:pPr>
            <w:r w:rsidRPr="00C74525">
              <w:rPr>
                <w:rFonts w:cs="Arial"/>
                <w:b/>
                <w:sz w:val="18"/>
                <w:szCs w:val="18"/>
                <w:lang w:val="es-ES" w:eastAsia="es-ES"/>
              </w:rPr>
              <w:t>189</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bottom"/>
          </w:tcPr>
          <w:p w:rsidR="00510988" w:rsidRPr="00C74525" w:rsidRDefault="00510988" w:rsidP="00C74525">
            <w:pPr>
              <w:jc w:val="center"/>
              <w:rPr>
                <w:rFonts w:cs="Arial"/>
                <w:b/>
                <w:color w:val="000000"/>
                <w:sz w:val="18"/>
                <w:szCs w:val="18"/>
                <w:lang w:val="es-ES" w:eastAsia="es-ES"/>
              </w:rPr>
            </w:pPr>
            <w:r w:rsidRPr="00C74525">
              <w:rPr>
                <w:rFonts w:cs="Arial"/>
                <w:b/>
                <w:color w:val="000000"/>
                <w:sz w:val="18"/>
                <w:szCs w:val="18"/>
                <w:lang w:val="es-ES" w:eastAsia="es-ES"/>
              </w:rPr>
              <w:t>372</w:t>
            </w:r>
          </w:p>
        </w:tc>
      </w:tr>
      <w:tr w:rsidR="00510988" w:rsidRPr="00C74525" w:rsidTr="00C74525">
        <w:trPr>
          <w:cantSplit/>
          <w:trHeight w:val="20"/>
          <w:jc w:val="center"/>
        </w:trPr>
        <w:tc>
          <w:tcPr>
            <w:tcW w:w="3995" w:type="dxa"/>
            <w:tcBorders>
              <w:top w:val="single" w:sz="2" w:space="0" w:color="auto"/>
              <w:left w:val="single" w:sz="2" w:space="0" w:color="auto"/>
              <w:bottom w:val="single" w:sz="2" w:space="0" w:color="auto"/>
              <w:right w:val="single" w:sz="2" w:space="0" w:color="auto"/>
            </w:tcBorders>
            <w:shd w:val="clear" w:color="auto" w:fill="BFBFBF"/>
            <w:noWrap/>
            <w:vAlign w:val="center"/>
            <w:hideMark/>
          </w:tcPr>
          <w:p w:rsidR="00510988" w:rsidRPr="00C74525" w:rsidRDefault="00510988" w:rsidP="00C74525">
            <w:pPr>
              <w:jc w:val="left"/>
              <w:rPr>
                <w:rFonts w:cs="Arial"/>
                <w:b/>
                <w:sz w:val="18"/>
                <w:szCs w:val="18"/>
                <w:lang w:val="es-ES" w:eastAsia="es-ES"/>
              </w:rPr>
            </w:pPr>
            <w:r w:rsidRPr="00C74525">
              <w:rPr>
                <w:rFonts w:cs="Arial"/>
                <w:b/>
                <w:sz w:val="18"/>
                <w:szCs w:val="18"/>
                <w:lang w:val="es-ES" w:eastAsia="es-ES"/>
              </w:rPr>
              <w:t>Fuente</w:t>
            </w:r>
          </w:p>
        </w:tc>
        <w:tc>
          <w:tcPr>
            <w:tcW w:w="1111" w:type="dxa"/>
            <w:gridSpan w:val="2"/>
            <w:tcBorders>
              <w:top w:val="single" w:sz="2" w:space="0" w:color="auto"/>
              <w:left w:val="single" w:sz="2" w:space="0" w:color="auto"/>
              <w:bottom w:val="single" w:sz="2" w:space="0" w:color="auto"/>
              <w:right w:val="single" w:sz="2" w:space="0" w:color="auto"/>
            </w:tcBorders>
            <w:shd w:val="clear" w:color="auto" w:fill="BFBFBF"/>
            <w:vAlign w:val="center"/>
          </w:tcPr>
          <w:p w:rsidR="00510988" w:rsidRPr="00510988" w:rsidRDefault="00510988" w:rsidP="00510988">
            <w:pPr>
              <w:jc w:val="center"/>
              <w:rPr>
                <w:rFonts w:cs="Arial"/>
                <w:sz w:val="12"/>
                <w:szCs w:val="12"/>
              </w:rPr>
            </w:pPr>
            <w:r w:rsidRPr="00510988">
              <w:rPr>
                <w:rFonts w:cs="Arial"/>
                <w:sz w:val="12"/>
                <w:szCs w:val="12"/>
              </w:rPr>
              <w:t>Mapas de riesgos</w:t>
            </w:r>
            <w:r>
              <w:rPr>
                <w:rFonts w:cs="Arial"/>
                <w:sz w:val="12"/>
                <w:szCs w:val="12"/>
              </w:rPr>
              <w:t xml:space="preserve"> vigentes en SIPA-SIG </w:t>
            </w:r>
            <w:r w:rsidRPr="00510988">
              <w:rPr>
                <w:rFonts w:cs="Arial"/>
                <w:sz w:val="12"/>
                <w:szCs w:val="12"/>
              </w:rPr>
              <w:t>a junio 30 de 2019</w:t>
            </w:r>
          </w:p>
        </w:tc>
        <w:tc>
          <w:tcPr>
            <w:tcW w:w="1344" w:type="dxa"/>
            <w:gridSpan w:val="2"/>
            <w:tcBorders>
              <w:top w:val="single" w:sz="2" w:space="0" w:color="auto"/>
              <w:left w:val="single" w:sz="2" w:space="0" w:color="auto"/>
              <w:bottom w:val="single" w:sz="2" w:space="0" w:color="auto"/>
              <w:right w:val="single" w:sz="2" w:space="0" w:color="auto"/>
            </w:tcBorders>
            <w:shd w:val="clear" w:color="auto" w:fill="BFBFBF"/>
            <w:vAlign w:val="center"/>
          </w:tcPr>
          <w:p w:rsidR="00510988" w:rsidRPr="00C74525" w:rsidRDefault="00510988" w:rsidP="00C74525">
            <w:pPr>
              <w:jc w:val="center"/>
              <w:rPr>
                <w:rFonts w:cs="Arial"/>
                <w:sz w:val="12"/>
                <w:szCs w:val="12"/>
              </w:rPr>
            </w:pPr>
            <w:r w:rsidRPr="00C74525">
              <w:rPr>
                <w:rFonts w:cs="Arial"/>
                <w:sz w:val="12"/>
                <w:szCs w:val="12"/>
              </w:rPr>
              <w:t>Reporte “Matriz todo” generada desde el módulo de planes de mejoramiento del aplicativo SIPA a junio de 2019.</w:t>
            </w:r>
          </w:p>
        </w:tc>
        <w:tc>
          <w:tcPr>
            <w:tcW w:w="851" w:type="dxa"/>
            <w:tcBorders>
              <w:top w:val="single" w:sz="2" w:space="0" w:color="auto"/>
              <w:left w:val="single" w:sz="2" w:space="0" w:color="auto"/>
              <w:bottom w:val="single" w:sz="2" w:space="0" w:color="auto"/>
              <w:right w:val="single" w:sz="2" w:space="0" w:color="auto"/>
            </w:tcBorders>
            <w:shd w:val="clear" w:color="auto" w:fill="BFBFBF"/>
            <w:vAlign w:val="center"/>
          </w:tcPr>
          <w:p w:rsidR="00510988" w:rsidRPr="00C74525" w:rsidRDefault="00510988" w:rsidP="00C74525">
            <w:pPr>
              <w:jc w:val="center"/>
              <w:rPr>
                <w:rFonts w:cs="Arial"/>
                <w:sz w:val="12"/>
                <w:szCs w:val="12"/>
              </w:rPr>
            </w:pPr>
            <w:r w:rsidRPr="00C74525">
              <w:rPr>
                <w:rFonts w:cs="Arial"/>
                <w:sz w:val="12"/>
                <w:szCs w:val="12"/>
              </w:rPr>
              <w:t>Módulo de documentos del aplicativo SIPA a junio de 2019.</w:t>
            </w:r>
          </w:p>
        </w:tc>
        <w:tc>
          <w:tcPr>
            <w:tcW w:w="850" w:type="dxa"/>
            <w:tcBorders>
              <w:top w:val="single" w:sz="2" w:space="0" w:color="auto"/>
              <w:left w:val="single" w:sz="2" w:space="0" w:color="auto"/>
              <w:bottom w:val="single" w:sz="2" w:space="0" w:color="auto"/>
              <w:right w:val="single" w:sz="4" w:space="0" w:color="auto"/>
            </w:tcBorders>
            <w:shd w:val="clear" w:color="auto" w:fill="BFBFBF"/>
            <w:vAlign w:val="center"/>
          </w:tcPr>
          <w:p w:rsidR="00510988" w:rsidRPr="00C74525" w:rsidRDefault="00510988" w:rsidP="00C74525">
            <w:pPr>
              <w:jc w:val="center"/>
              <w:rPr>
                <w:rFonts w:cs="Arial"/>
                <w:b/>
                <w:sz w:val="12"/>
                <w:szCs w:val="12"/>
                <w:lang w:val="es-ES" w:eastAsia="es-ES"/>
              </w:rPr>
            </w:pPr>
            <w:r w:rsidRPr="00C74525">
              <w:rPr>
                <w:rFonts w:cs="Arial"/>
                <w:sz w:val="12"/>
                <w:szCs w:val="12"/>
              </w:rPr>
              <w:t>Reporte “Consulta indicadores activos” generado desde la herramienta SIIP.</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510988" w:rsidRPr="00C74525" w:rsidRDefault="00510988" w:rsidP="00C74525">
            <w:pPr>
              <w:jc w:val="center"/>
              <w:rPr>
                <w:rFonts w:cs="Arial"/>
                <w:sz w:val="12"/>
                <w:szCs w:val="12"/>
              </w:rPr>
            </w:pPr>
            <w:r w:rsidRPr="00C74525">
              <w:rPr>
                <w:rFonts w:cs="Arial"/>
                <w:sz w:val="12"/>
                <w:szCs w:val="12"/>
              </w:rPr>
              <w:t>Módulo de documentos del aplicativo SIPA a junio de 2019.</w:t>
            </w:r>
          </w:p>
        </w:tc>
      </w:tr>
    </w:tbl>
    <w:p w:rsidR="00510988" w:rsidRPr="00C74525" w:rsidRDefault="00510988" w:rsidP="00C74525">
      <w:pPr>
        <w:rPr>
          <w:rFonts w:cs="Arial"/>
          <w:sz w:val="22"/>
          <w:szCs w:val="22"/>
        </w:rPr>
      </w:pPr>
    </w:p>
    <w:p w:rsidR="00A35A44" w:rsidRPr="00C74525" w:rsidRDefault="00A35A44" w:rsidP="00C74525">
      <w:pPr>
        <w:rPr>
          <w:rFonts w:cs="Arial"/>
          <w:sz w:val="22"/>
          <w:szCs w:val="22"/>
        </w:rPr>
      </w:pPr>
      <w:r w:rsidRPr="00C74525">
        <w:rPr>
          <w:rFonts w:cs="Arial"/>
          <w:sz w:val="22"/>
          <w:szCs w:val="22"/>
        </w:rPr>
        <w:lastRenderedPageBreak/>
        <w:t>A continuación</w:t>
      </w:r>
      <w:r w:rsidR="00864F8B">
        <w:rPr>
          <w:rFonts w:cs="Arial"/>
          <w:sz w:val="22"/>
          <w:szCs w:val="22"/>
        </w:rPr>
        <w:t>,</w:t>
      </w:r>
      <w:r w:rsidRPr="00C74525">
        <w:rPr>
          <w:rFonts w:cs="Arial"/>
          <w:sz w:val="22"/>
          <w:szCs w:val="22"/>
        </w:rPr>
        <w:t xml:space="preserve"> se detalla</w:t>
      </w:r>
      <w:r w:rsidR="00553AC0" w:rsidRPr="00C74525">
        <w:rPr>
          <w:rFonts w:cs="Arial"/>
          <w:sz w:val="22"/>
          <w:szCs w:val="22"/>
        </w:rPr>
        <w:t xml:space="preserve"> el</w:t>
      </w:r>
      <w:r w:rsidRPr="00C74525">
        <w:rPr>
          <w:rFonts w:cs="Arial"/>
          <w:sz w:val="22"/>
          <w:szCs w:val="22"/>
        </w:rPr>
        <w:t xml:space="preserve"> análisis de dichos ítems y de otros </w:t>
      </w:r>
      <w:r w:rsidR="00CD7F5C" w:rsidRPr="00C74525">
        <w:rPr>
          <w:rFonts w:cs="Arial"/>
          <w:sz w:val="22"/>
          <w:szCs w:val="22"/>
        </w:rPr>
        <w:t xml:space="preserve">asuntos </w:t>
      </w:r>
      <w:r w:rsidRPr="00C74525">
        <w:rPr>
          <w:rFonts w:cs="Arial"/>
          <w:sz w:val="22"/>
          <w:szCs w:val="22"/>
        </w:rPr>
        <w:t>asociados al SIG.</w:t>
      </w:r>
    </w:p>
    <w:p w:rsidR="00816699" w:rsidRPr="00C74525" w:rsidRDefault="00816699" w:rsidP="00C74525">
      <w:pPr>
        <w:jc w:val="left"/>
        <w:rPr>
          <w:rFonts w:cs="Arial"/>
          <w:sz w:val="22"/>
          <w:szCs w:val="22"/>
        </w:rPr>
      </w:pPr>
    </w:p>
    <w:p w:rsidR="006F123E" w:rsidRPr="00C74525" w:rsidRDefault="00D30203"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2" w:name="_Toc13141903"/>
      <w:r w:rsidRPr="00C74525">
        <w:rPr>
          <w:rFonts w:ascii="Arial" w:hAnsi="Arial" w:cs="Arial"/>
          <w:color w:val="auto"/>
          <w:sz w:val="22"/>
          <w:szCs w:val="22"/>
        </w:rPr>
        <w:t>R</w:t>
      </w:r>
      <w:r w:rsidR="006F123E" w:rsidRPr="00C74525">
        <w:rPr>
          <w:rFonts w:ascii="Arial" w:hAnsi="Arial" w:cs="Arial"/>
          <w:color w:val="auto"/>
          <w:sz w:val="22"/>
          <w:szCs w:val="22"/>
        </w:rPr>
        <w:t>iesgos</w:t>
      </w:r>
      <w:bookmarkEnd w:id="2"/>
    </w:p>
    <w:p w:rsidR="006F123E" w:rsidRPr="00C74525" w:rsidRDefault="006F123E" w:rsidP="00C74525">
      <w:pPr>
        <w:rPr>
          <w:rFonts w:cs="Arial"/>
          <w:sz w:val="22"/>
          <w:szCs w:val="22"/>
        </w:rPr>
      </w:pPr>
    </w:p>
    <w:p w:rsidR="00D61351" w:rsidRPr="00C74525" w:rsidRDefault="006F123E" w:rsidP="00C74525">
      <w:pPr>
        <w:rPr>
          <w:rFonts w:cs="Arial"/>
          <w:sz w:val="22"/>
          <w:szCs w:val="22"/>
        </w:rPr>
      </w:pPr>
      <w:r w:rsidRPr="00C74525">
        <w:rPr>
          <w:rFonts w:cs="Arial"/>
          <w:sz w:val="22"/>
          <w:szCs w:val="22"/>
        </w:rPr>
        <w:t xml:space="preserve">La entidad </w:t>
      </w:r>
      <w:r w:rsidR="00946A7E" w:rsidRPr="00C74525">
        <w:rPr>
          <w:rFonts w:cs="Arial"/>
          <w:sz w:val="22"/>
          <w:szCs w:val="22"/>
        </w:rPr>
        <w:t>gestiona</w:t>
      </w:r>
      <w:r w:rsidRPr="00C74525">
        <w:rPr>
          <w:rFonts w:cs="Arial"/>
          <w:sz w:val="22"/>
          <w:szCs w:val="22"/>
        </w:rPr>
        <w:t xml:space="preserve"> sus riesgos desde hace varios años</w:t>
      </w:r>
      <w:r w:rsidR="00A63116" w:rsidRPr="00C74525">
        <w:rPr>
          <w:rFonts w:cs="Arial"/>
          <w:sz w:val="22"/>
          <w:szCs w:val="22"/>
        </w:rPr>
        <w:t xml:space="preserve">, </w:t>
      </w:r>
      <w:r w:rsidR="00243319" w:rsidRPr="00C74525">
        <w:rPr>
          <w:rFonts w:cs="Arial"/>
          <w:sz w:val="22"/>
          <w:szCs w:val="22"/>
        </w:rPr>
        <w:t xml:space="preserve">y </w:t>
      </w:r>
      <w:r w:rsidR="00C74525">
        <w:rPr>
          <w:rFonts w:cs="Arial"/>
          <w:sz w:val="22"/>
          <w:szCs w:val="22"/>
        </w:rPr>
        <w:t>con el paso del tiempo</w:t>
      </w:r>
      <w:r w:rsidR="00243319" w:rsidRPr="00C74525">
        <w:rPr>
          <w:rFonts w:cs="Arial"/>
          <w:sz w:val="22"/>
          <w:szCs w:val="22"/>
        </w:rPr>
        <w:t xml:space="preserve"> </w:t>
      </w:r>
      <w:r w:rsidR="00171E54" w:rsidRPr="00C74525">
        <w:rPr>
          <w:rFonts w:cs="Arial"/>
          <w:sz w:val="22"/>
          <w:szCs w:val="22"/>
        </w:rPr>
        <w:t xml:space="preserve">ha venido evolucionando en su </w:t>
      </w:r>
      <w:r w:rsidR="002F187F" w:rsidRPr="00C74525">
        <w:rPr>
          <w:rFonts w:cs="Arial"/>
          <w:sz w:val="22"/>
          <w:szCs w:val="22"/>
        </w:rPr>
        <w:t xml:space="preserve">diseño y </w:t>
      </w:r>
      <w:r w:rsidR="00946A7E" w:rsidRPr="00C74525">
        <w:rPr>
          <w:rFonts w:cs="Arial"/>
          <w:sz w:val="22"/>
          <w:szCs w:val="22"/>
        </w:rPr>
        <w:t>operación</w:t>
      </w:r>
      <w:r w:rsidRPr="00C74525">
        <w:rPr>
          <w:rFonts w:cs="Arial"/>
          <w:sz w:val="22"/>
          <w:szCs w:val="22"/>
        </w:rPr>
        <w:t xml:space="preserve">. </w:t>
      </w:r>
      <w:r w:rsidR="00946A7E" w:rsidRPr="00C74525">
        <w:rPr>
          <w:rFonts w:cs="Arial"/>
          <w:sz w:val="22"/>
          <w:szCs w:val="22"/>
        </w:rPr>
        <w:t>Actualmente, l</w:t>
      </w:r>
      <w:r w:rsidRPr="00C74525">
        <w:rPr>
          <w:rFonts w:cs="Arial"/>
          <w:sz w:val="22"/>
          <w:szCs w:val="22"/>
        </w:rPr>
        <w:t xml:space="preserve">os riesgos cuentan con las variables exigidas, tales como: definición, causas, consecuencias, probabilidad, impacto, zona de calor, controles, tratamientos y seguimientos periódicos. </w:t>
      </w:r>
      <w:r w:rsidR="00CE4818" w:rsidRPr="00C74525">
        <w:rPr>
          <w:rFonts w:cs="Arial"/>
          <w:sz w:val="22"/>
          <w:szCs w:val="22"/>
          <w:lang w:val="es-ES"/>
        </w:rPr>
        <w:t>En febrero</w:t>
      </w:r>
      <w:r w:rsidR="008E79A9" w:rsidRPr="00C74525">
        <w:rPr>
          <w:rFonts w:cs="Arial"/>
          <w:sz w:val="22"/>
          <w:szCs w:val="22"/>
          <w:lang w:val="es-ES"/>
        </w:rPr>
        <w:t xml:space="preserve"> de 2019</w:t>
      </w:r>
      <w:r w:rsidR="00CE4818" w:rsidRPr="00C74525">
        <w:rPr>
          <w:rFonts w:cs="Arial"/>
          <w:sz w:val="22"/>
          <w:szCs w:val="22"/>
          <w:lang w:val="es-ES"/>
        </w:rPr>
        <w:t>,</w:t>
      </w:r>
      <w:r w:rsidR="008E79A9" w:rsidRPr="00C74525">
        <w:rPr>
          <w:rFonts w:cs="Arial"/>
          <w:sz w:val="22"/>
          <w:szCs w:val="22"/>
          <w:lang w:val="es-ES"/>
        </w:rPr>
        <w:t xml:space="preserve"> </w:t>
      </w:r>
      <w:r w:rsidR="00CE4818" w:rsidRPr="00C74525">
        <w:rPr>
          <w:rFonts w:cs="Arial"/>
          <w:sz w:val="22"/>
          <w:szCs w:val="22"/>
          <w:lang w:val="es-ES"/>
        </w:rPr>
        <w:t>el seguimiento a la gestión de riesgos arrojó las siguientes cantidades de</w:t>
      </w:r>
      <w:r w:rsidR="00DD2AE6" w:rsidRPr="00C74525">
        <w:rPr>
          <w:rFonts w:cs="Arial"/>
          <w:sz w:val="22"/>
          <w:szCs w:val="22"/>
          <w:lang w:val="es-ES"/>
        </w:rPr>
        <w:t xml:space="preserve"> riesgos</w:t>
      </w:r>
      <w:r w:rsidR="00137F60" w:rsidRPr="00C74525">
        <w:rPr>
          <w:rFonts w:cs="Arial"/>
          <w:sz w:val="22"/>
          <w:szCs w:val="22"/>
          <w:lang w:val="es-ES"/>
        </w:rPr>
        <w:t xml:space="preserve"> </w:t>
      </w:r>
      <w:r w:rsidR="00E5605A" w:rsidRPr="00C74525">
        <w:rPr>
          <w:rFonts w:cs="Arial"/>
          <w:sz w:val="22"/>
          <w:szCs w:val="22"/>
          <w:lang w:val="es-ES"/>
        </w:rPr>
        <w:t xml:space="preserve">en </w:t>
      </w:r>
      <w:r w:rsidR="00CE4818" w:rsidRPr="00C74525">
        <w:rPr>
          <w:rFonts w:cs="Arial"/>
          <w:sz w:val="22"/>
          <w:szCs w:val="22"/>
          <w:lang w:val="es-ES"/>
        </w:rPr>
        <w:t>cada</w:t>
      </w:r>
      <w:r w:rsidR="00CC6787" w:rsidRPr="00C74525">
        <w:rPr>
          <w:rFonts w:cs="Arial"/>
          <w:sz w:val="22"/>
          <w:szCs w:val="22"/>
          <w:lang w:val="es-ES"/>
        </w:rPr>
        <w:t xml:space="preserve"> tipo</w:t>
      </w:r>
      <w:r w:rsidR="00E5605A" w:rsidRPr="00C74525">
        <w:rPr>
          <w:rFonts w:cs="Arial"/>
          <w:sz w:val="22"/>
          <w:szCs w:val="22"/>
          <w:lang w:val="es-ES"/>
        </w:rPr>
        <w:t>logía</w:t>
      </w:r>
      <w:r w:rsidR="00CC6787" w:rsidRPr="00C74525">
        <w:rPr>
          <w:rFonts w:cs="Arial"/>
          <w:sz w:val="22"/>
          <w:szCs w:val="22"/>
          <w:lang w:val="es-ES"/>
        </w:rPr>
        <w:t>:</w:t>
      </w:r>
    </w:p>
    <w:p w:rsidR="00D61351" w:rsidRPr="00C74525" w:rsidRDefault="00D61351" w:rsidP="00C74525">
      <w:pPr>
        <w:rPr>
          <w:rFonts w:cs="Arial"/>
          <w:sz w:val="22"/>
          <w:szCs w:val="22"/>
        </w:rPr>
      </w:pPr>
    </w:p>
    <w:p w:rsidR="00CC6787" w:rsidRPr="00C74525" w:rsidRDefault="00CC6787" w:rsidP="00C74525">
      <w:pPr>
        <w:jc w:val="center"/>
        <w:rPr>
          <w:rFonts w:cs="Arial"/>
          <w:sz w:val="18"/>
          <w:szCs w:val="18"/>
        </w:rPr>
      </w:pPr>
      <w:r w:rsidRPr="00C74525">
        <w:rPr>
          <w:rFonts w:cs="Arial"/>
          <w:sz w:val="18"/>
          <w:szCs w:val="18"/>
        </w:rPr>
        <w:t xml:space="preserve">Tabla </w:t>
      </w:r>
      <w:r w:rsidR="0092077B" w:rsidRPr="00C74525">
        <w:rPr>
          <w:rFonts w:cs="Arial"/>
          <w:sz w:val="18"/>
          <w:szCs w:val="18"/>
        </w:rPr>
        <w:t>2</w:t>
      </w:r>
      <w:r w:rsidRPr="00C74525">
        <w:rPr>
          <w:rFonts w:cs="Arial"/>
          <w:sz w:val="18"/>
          <w:szCs w:val="18"/>
        </w:rPr>
        <w:t>: Tipología de riesgos</w:t>
      </w:r>
    </w:p>
    <w:tbl>
      <w:tblPr>
        <w:tblW w:w="3254" w:type="dxa"/>
        <w:jc w:val="center"/>
        <w:tblCellMar>
          <w:left w:w="70" w:type="dxa"/>
          <w:right w:w="70" w:type="dxa"/>
        </w:tblCellMar>
        <w:tblLook w:val="04A0" w:firstRow="1" w:lastRow="0" w:firstColumn="1" w:lastColumn="0" w:noHBand="0" w:noVBand="1"/>
      </w:tblPr>
      <w:tblGrid>
        <w:gridCol w:w="2054"/>
        <w:gridCol w:w="1200"/>
      </w:tblGrid>
      <w:tr w:rsidR="00CE4818" w:rsidRPr="00C74525" w:rsidTr="008B325F">
        <w:trPr>
          <w:cantSplit/>
          <w:trHeight w:val="20"/>
          <w:jc w:val="center"/>
        </w:trPr>
        <w:tc>
          <w:tcPr>
            <w:tcW w:w="3254"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CE4818" w:rsidRPr="00C74525" w:rsidRDefault="00CE4818" w:rsidP="00C74525">
            <w:pPr>
              <w:jc w:val="center"/>
              <w:rPr>
                <w:rFonts w:cs="Arial"/>
                <w:b/>
                <w:sz w:val="18"/>
                <w:szCs w:val="18"/>
                <w:lang w:val="es-ES" w:eastAsia="es-ES"/>
              </w:rPr>
            </w:pPr>
            <w:r w:rsidRPr="00C74525">
              <w:rPr>
                <w:rFonts w:cs="Arial"/>
                <w:b/>
                <w:sz w:val="18"/>
                <w:szCs w:val="18"/>
                <w:lang w:val="es-ES" w:eastAsia="es-ES"/>
              </w:rPr>
              <w:t>Riesgos</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E4818" w:rsidRPr="00C74525" w:rsidRDefault="00CE4818" w:rsidP="00C74525">
            <w:pPr>
              <w:jc w:val="left"/>
              <w:rPr>
                <w:rFonts w:cs="Arial"/>
                <w:b/>
                <w:sz w:val="18"/>
                <w:szCs w:val="18"/>
                <w:lang w:val="es-ES" w:eastAsia="es-ES"/>
              </w:rPr>
            </w:pPr>
            <w:r w:rsidRPr="00C74525">
              <w:rPr>
                <w:rFonts w:cs="Arial"/>
                <w:b/>
                <w:sz w:val="18"/>
                <w:szCs w:val="18"/>
                <w:lang w:val="es-ES" w:eastAsia="es-ES"/>
              </w:rPr>
              <w:t>Tipo</w:t>
            </w: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hideMark/>
          </w:tcPr>
          <w:p w:rsidR="00CE4818" w:rsidRPr="00C74525" w:rsidRDefault="00CE4818" w:rsidP="00C74525">
            <w:pPr>
              <w:jc w:val="center"/>
              <w:rPr>
                <w:rFonts w:cs="Arial"/>
                <w:b/>
                <w:sz w:val="18"/>
                <w:szCs w:val="18"/>
                <w:lang w:val="es-ES" w:eastAsia="es-ES"/>
              </w:rPr>
            </w:pPr>
            <w:r w:rsidRPr="00C74525">
              <w:rPr>
                <w:rFonts w:cs="Arial"/>
                <w:b/>
                <w:sz w:val="18"/>
                <w:szCs w:val="18"/>
                <w:lang w:val="es-ES" w:eastAsia="es-ES"/>
              </w:rPr>
              <w:t>Cantidad</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Ambiental </w:t>
            </w:r>
            <w:r w:rsidR="008B325F">
              <w:rPr>
                <w:rFonts w:cs="Arial"/>
                <w:sz w:val="18"/>
                <w:szCs w:val="18"/>
                <w:lang w:val="es-ES" w:eastAsia="es-ES"/>
              </w:rPr>
              <w:t>-operativo</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2</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Corrupción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23</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Cumplimiento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6</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Estratégico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8</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Financiero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4</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Imagen</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0</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Operativo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22</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auto"/>
            <w:vAlign w:val="bottom"/>
            <w:hideMark/>
          </w:tcPr>
          <w:p w:rsidR="00CE4818" w:rsidRPr="00C74525" w:rsidRDefault="00CE4818" w:rsidP="00C74525">
            <w:pPr>
              <w:jc w:val="left"/>
              <w:rPr>
                <w:rFonts w:cs="Arial"/>
                <w:sz w:val="18"/>
                <w:szCs w:val="18"/>
                <w:lang w:val="es-ES" w:eastAsia="es-ES"/>
              </w:rPr>
            </w:pPr>
            <w:r w:rsidRPr="00C74525">
              <w:rPr>
                <w:rFonts w:cs="Arial"/>
                <w:sz w:val="18"/>
                <w:szCs w:val="18"/>
                <w:lang w:val="es-ES" w:eastAsia="es-ES"/>
              </w:rPr>
              <w:t xml:space="preserve">Tecnológico </w:t>
            </w:r>
          </w:p>
        </w:tc>
        <w:tc>
          <w:tcPr>
            <w:tcW w:w="1200" w:type="dxa"/>
            <w:tcBorders>
              <w:top w:val="nil"/>
              <w:left w:val="nil"/>
              <w:bottom w:val="single" w:sz="4" w:space="0" w:color="auto"/>
              <w:right w:val="single" w:sz="4" w:space="0" w:color="auto"/>
            </w:tcBorders>
            <w:shd w:val="clear" w:color="auto" w:fill="auto"/>
            <w:vAlign w:val="bottom"/>
            <w:hideMark/>
          </w:tcPr>
          <w:p w:rsidR="00CE4818" w:rsidRPr="008B325F" w:rsidRDefault="008B325F" w:rsidP="00C74525">
            <w:pPr>
              <w:jc w:val="center"/>
              <w:rPr>
                <w:rFonts w:cs="Arial"/>
                <w:sz w:val="18"/>
                <w:szCs w:val="18"/>
                <w:lang w:val="es-ES" w:eastAsia="es-ES"/>
              </w:rPr>
            </w:pPr>
            <w:r>
              <w:rPr>
                <w:rFonts w:cs="Arial"/>
                <w:sz w:val="18"/>
                <w:szCs w:val="18"/>
                <w:lang w:val="es-ES" w:eastAsia="es-ES"/>
              </w:rPr>
              <w:t>2</w:t>
            </w:r>
          </w:p>
        </w:tc>
      </w:tr>
      <w:tr w:rsidR="00CE4818" w:rsidRPr="00C74525" w:rsidTr="008B325F">
        <w:trPr>
          <w:cantSplit/>
          <w:trHeight w:val="20"/>
          <w:jc w:val="center"/>
        </w:trPr>
        <w:tc>
          <w:tcPr>
            <w:tcW w:w="205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CE4818" w:rsidRPr="00C74525" w:rsidRDefault="00CE4818" w:rsidP="00C74525">
            <w:pPr>
              <w:jc w:val="left"/>
              <w:rPr>
                <w:rFonts w:cs="Arial"/>
                <w:b/>
                <w:sz w:val="18"/>
                <w:szCs w:val="18"/>
                <w:lang w:val="es-ES" w:eastAsia="es-ES"/>
              </w:rPr>
            </w:pPr>
            <w:r w:rsidRPr="00C74525">
              <w:rPr>
                <w:rFonts w:cs="Arial"/>
                <w:b/>
                <w:sz w:val="18"/>
                <w:szCs w:val="18"/>
                <w:lang w:val="es-ES" w:eastAsia="es-ES"/>
              </w:rPr>
              <w:t>Total</w:t>
            </w:r>
          </w:p>
        </w:tc>
        <w:tc>
          <w:tcPr>
            <w:tcW w:w="1200" w:type="dxa"/>
            <w:tcBorders>
              <w:top w:val="nil"/>
              <w:left w:val="nil"/>
              <w:bottom w:val="single" w:sz="4" w:space="0" w:color="auto"/>
              <w:right w:val="single" w:sz="4" w:space="0" w:color="auto"/>
            </w:tcBorders>
            <w:shd w:val="clear" w:color="auto" w:fill="D9D9D9" w:themeFill="background1" w:themeFillShade="D9"/>
            <w:noWrap/>
            <w:vAlign w:val="bottom"/>
            <w:hideMark/>
          </w:tcPr>
          <w:p w:rsidR="00CE4818" w:rsidRPr="008B325F" w:rsidRDefault="008B325F" w:rsidP="00C74525">
            <w:pPr>
              <w:jc w:val="center"/>
              <w:rPr>
                <w:rFonts w:cs="Arial"/>
                <w:b/>
                <w:sz w:val="18"/>
                <w:szCs w:val="18"/>
                <w:lang w:val="es-ES" w:eastAsia="es-ES"/>
              </w:rPr>
            </w:pPr>
            <w:r>
              <w:rPr>
                <w:rFonts w:cs="Arial"/>
                <w:b/>
                <w:sz w:val="18"/>
                <w:szCs w:val="18"/>
                <w:lang w:val="es-ES" w:eastAsia="es-ES"/>
              </w:rPr>
              <w:t>67</w:t>
            </w:r>
          </w:p>
        </w:tc>
      </w:tr>
    </w:tbl>
    <w:p w:rsidR="00CC6787" w:rsidRPr="008B325F" w:rsidRDefault="00CC6787" w:rsidP="00C74525">
      <w:pPr>
        <w:jc w:val="center"/>
        <w:rPr>
          <w:rFonts w:cs="Arial"/>
          <w:sz w:val="18"/>
          <w:szCs w:val="18"/>
        </w:rPr>
      </w:pPr>
      <w:r w:rsidRPr="008B325F">
        <w:rPr>
          <w:rFonts w:cs="Arial"/>
          <w:sz w:val="18"/>
          <w:szCs w:val="18"/>
        </w:rPr>
        <w:t xml:space="preserve">Fuente: </w:t>
      </w:r>
      <w:r w:rsidR="008B325F" w:rsidRPr="008B325F">
        <w:rPr>
          <w:rFonts w:cs="Arial"/>
          <w:sz w:val="18"/>
          <w:szCs w:val="18"/>
        </w:rPr>
        <w:t>Mapas de riesgos vigentes en SIPA-SIG a junio 30 de 2019</w:t>
      </w:r>
    </w:p>
    <w:p w:rsidR="008B325F" w:rsidRPr="00C74525" w:rsidRDefault="008B325F" w:rsidP="00C74525">
      <w:pPr>
        <w:rPr>
          <w:rFonts w:cs="Arial"/>
          <w:sz w:val="22"/>
          <w:szCs w:val="22"/>
        </w:rPr>
      </w:pPr>
    </w:p>
    <w:p w:rsidR="00CE4818" w:rsidRPr="00C74525" w:rsidRDefault="00CE4818" w:rsidP="00C74525">
      <w:pPr>
        <w:rPr>
          <w:rFonts w:cs="Arial"/>
          <w:sz w:val="22"/>
          <w:szCs w:val="22"/>
        </w:rPr>
      </w:pPr>
      <w:r w:rsidRPr="00C74525">
        <w:rPr>
          <w:rFonts w:cs="Arial"/>
          <w:sz w:val="22"/>
          <w:szCs w:val="22"/>
        </w:rPr>
        <w:t>En forma posterior a esa fecha, algunos procesos han actualizado sus mapas de riesgos, quedando pendientes un</w:t>
      </w:r>
      <w:r w:rsidR="00FD7A01" w:rsidRPr="00C74525">
        <w:rPr>
          <w:rFonts w:cs="Arial"/>
          <w:sz w:val="22"/>
          <w:szCs w:val="22"/>
        </w:rPr>
        <w:t xml:space="preserve"> poco menos de la mitad</w:t>
      </w:r>
      <w:r w:rsidRPr="00C74525">
        <w:rPr>
          <w:rFonts w:cs="Arial"/>
          <w:sz w:val="22"/>
          <w:szCs w:val="22"/>
        </w:rPr>
        <w:t xml:space="preserve"> por actualizar.</w:t>
      </w:r>
    </w:p>
    <w:p w:rsidR="00CE4818" w:rsidRPr="00C74525" w:rsidRDefault="00CE4818" w:rsidP="00C74525">
      <w:pPr>
        <w:rPr>
          <w:rFonts w:cs="Arial"/>
          <w:sz w:val="22"/>
          <w:szCs w:val="22"/>
        </w:rPr>
      </w:pPr>
    </w:p>
    <w:p w:rsidR="006F123E" w:rsidRPr="00C74525" w:rsidRDefault="006F123E"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3" w:name="_Toc13141904"/>
      <w:r w:rsidRPr="00C74525">
        <w:rPr>
          <w:rFonts w:ascii="Arial" w:hAnsi="Arial" w:cs="Arial"/>
          <w:color w:val="auto"/>
          <w:sz w:val="22"/>
          <w:szCs w:val="22"/>
        </w:rPr>
        <w:t>Planes de mejoramiento</w:t>
      </w:r>
      <w:bookmarkEnd w:id="3"/>
    </w:p>
    <w:p w:rsidR="006F123E" w:rsidRPr="00C74525" w:rsidRDefault="006F123E" w:rsidP="00C74525">
      <w:pPr>
        <w:rPr>
          <w:rFonts w:cs="Arial"/>
          <w:sz w:val="22"/>
          <w:szCs w:val="22"/>
          <w:lang w:val="es-ES"/>
        </w:rPr>
      </w:pPr>
    </w:p>
    <w:p w:rsidR="00D61351" w:rsidRPr="00C74525" w:rsidRDefault="006F123E" w:rsidP="00C74525">
      <w:pPr>
        <w:rPr>
          <w:rFonts w:cs="Arial"/>
          <w:sz w:val="22"/>
          <w:szCs w:val="22"/>
          <w:lang w:val="es-ES"/>
        </w:rPr>
      </w:pPr>
      <w:r w:rsidRPr="00C74525">
        <w:rPr>
          <w:rFonts w:cs="Arial"/>
          <w:sz w:val="22"/>
          <w:szCs w:val="22"/>
          <w:lang w:val="es-ES"/>
        </w:rPr>
        <w:t xml:space="preserve">A </w:t>
      </w:r>
      <w:r w:rsidR="008E79A9" w:rsidRPr="00C74525">
        <w:rPr>
          <w:rFonts w:cs="Arial"/>
          <w:sz w:val="22"/>
          <w:szCs w:val="22"/>
          <w:lang w:val="es-ES"/>
        </w:rPr>
        <w:t>junio 30</w:t>
      </w:r>
      <w:r w:rsidRPr="00C74525">
        <w:rPr>
          <w:rFonts w:cs="Arial"/>
          <w:sz w:val="22"/>
          <w:szCs w:val="22"/>
          <w:lang w:val="es-ES"/>
        </w:rPr>
        <w:t xml:space="preserve"> de 201</w:t>
      </w:r>
      <w:r w:rsidR="008E79A9" w:rsidRPr="00C74525">
        <w:rPr>
          <w:rFonts w:cs="Arial"/>
          <w:sz w:val="22"/>
          <w:szCs w:val="22"/>
          <w:lang w:val="es-ES"/>
        </w:rPr>
        <w:t>9</w:t>
      </w:r>
      <w:r w:rsidRPr="00C74525">
        <w:rPr>
          <w:rFonts w:cs="Arial"/>
          <w:sz w:val="22"/>
          <w:szCs w:val="22"/>
          <w:lang w:val="es-ES"/>
        </w:rPr>
        <w:t xml:space="preserve"> hay </w:t>
      </w:r>
      <w:r w:rsidR="0018157C" w:rsidRPr="00C74525">
        <w:rPr>
          <w:rFonts w:cs="Arial"/>
          <w:sz w:val="22"/>
          <w:szCs w:val="22"/>
          <w:lang w:val="es-ES"/>
        </w:rPr>
        <w:t>91</w:t>
      </w:r>
      <w:r w:rsidRPr="00C74525">
        <w:rPr>
          <w:rFonts w:cs="Arial"/>
          <w:sz w:val="22"/>
          <w:szCs w:val="22"/>
          <w:lang w:val="es-ES"/>
        </w:rPr>
        <w:t xml:space="preserve"> planes de mejora en curso, </w:t>
      </w:r>
      <w:r w:rsidR="00C12B00" w:rsidRPr="00C74525">
        <w:rPr>
          <w:rFonts w:cs="Arial"/>
          <w:sz w:val="22"/>
          <w:szCs w:val="22"/>
          <w:lang w:val="es-ES"/>
        </w:rPr>
        <w:t>conformados por</w:t>
      </w:r>
      <w:r w:rsidRPr="00C74525">
        <w:rPr>
          <w:rFonts w:cs="Arial"/>
          <w:sz w:val="22"/>
          <w:szCs w:val="22"/>
          <w:lang w:val="es-ES"/>
        </w:rPr>
        <w:t xml:space="preserve"> </w:t>
      </w:r>
      <w:r w:rsidR="0018157C" w:rsidRPr="00C74525">
        <w:rPr>
          <w:rFonts w:cs="Arial"/>
          <w:sz w:val="22"/>
          <w:szCs w:val="22"/>
          <w:lang w:val="es-ES"/>
        </w:rPr>
        <w:t>188</w:t>
      </w:r>
      <w:r w:rsidRPr="00C74525">
        <w:rPr>
          <w:rFonts w:cs="Arial"/>
          <w:sz w:val="22"/>
          <w:szCs w:val="22"/>
          <w:lang w:val="es-ES"/>
        </w:rPr>
        <w:t xml:space="preserve"> acciones, igualmente en desarrollo. </w:t>
      </w:r>
      <w:r w:rsidR="00DD2AE6" w:rsidRPr="00C74525">
        <w:rPr>
          <w:rFonts w:cs="Arial"/>
          <w:sz w:val="22"/>
          <w:szCs w:val="22"/>
          <w:lang w:val="es-ES"/>
        </w:rPr>
        <w:t xml:space="preserve">Durante </w:t>
      </w:r>
      <w:r w:rsidR="00520F51" w:rsidRPr="00C74525">
        <w:rPr>
          <w:rFonts w:cs="Arial"/>
          <w:sz w:val="22"/>
          <w:szCs w:val="22"/>
          <w:lang w:val="es-ES"/>
        </w:rPr>
        <w:t>lo corrido de</w:t>
      </w:r>
      <w:r w:rsidR="00DD2AE6" w:rsidRPr="00C74525">
        <w:rPr>
          <w:rFonts w:cs="Arial"/>
          <w:sz w:val="22"/>
          <w:szCs w:val="22"/>
          <w:lang w:val="es-ES"/>
        </w:rPr>
        <w:t xml:space="preserve"> 201</w:t>
      </w:r>
      <w:r w:rsidR="00520F51" w:rsidRPr="00C74525">
        <w:rPr>
          <w:rFonts w:cs="Arial"/>
          <w:sz w:val="22"/>
          <w:szCs w:val="22"/>
          <w:lang w:val="es-ES"/>
        </w:rPr>
        <w:t>9,</w:t>
      </w:r>
      <w:r w:rsidR="00DD2AE6" w:rsidRPr="00C74525">
        <w:rPr>
          <w:rFonts w:cs="Arial"/>
          <w:sz w:val="22"/>
          <w:szCs w:val="22"/>
          <w:lang w:val="es-ES"/>
        </w:rPr>
        <w:t xml:space="preserve"> las</w:t>
      </w:r>
      <w:r w:rsidRPr="00C74525">
        <w:rPr>
          <w:rFonts w:cs="Arial"/>
          <w:sz w:val="22"/>
          <w:szCs w:val="22"/>
          <w:lang w:val="es-ES"/>
        </w:rPr>
        <w:t xml:space="preserve"> áreas </w:t>
      </w:r>
      <w:r w:rsidR="00DD2AE6" w:rsidRPr="00C74525">
        <w:rPr>
          <w:rFonts w:cs="Arial"/>
          <w:sz w:val="22"/>
          <w:szCs w:val="22"/>
          <w:lang w:val="es-ES"/>
        </w:rPr>
        <w:t>hicieron</w:t>
      </w:r>
      <w:r w:rsidRPr="00C74525">
        <w:rPr>
          <w:rFonts w:cs="Arial"/>
          <w:sz w:val="22"/>
          <w:szCs w:val="22"/>
          <w:lang w:val="es-ES"/>
        </w:rPr>
        <w:t xml:space="preserve"> seguimiento</w:t>
      </w:r>
      <w:r w:rsidR="00DD2AE6" w:rsidRPr="00C74525">
        <w:rPr>
          <w:rFonts w:cs="Arial"/>
          <w:sz w:val="22"/>
          <w:szCs w:val="22"/>
          <w:lang w:val="es-ES"/>
        </w:rPr>
        <w:t>s</w:t>
      </w:r>
      <w:r w:rsidRPr="00C74525">
        <w:rPr>
          <w:rFonts w:cs="Arial"/>
          <w:sz w:val="22"/>
          <w:szCs w:val="22"/>
          <w:lang w:val="es-ES"/>
        </w:rPr>
        <w:t xml:space="preserve"> mensual</w:t>
      </w:r>
      <w:r w:rsidR="00DD2AE6" w:rsidRPr="00C74525">
        <w:rPr>
          <w:rFonts w:cs="Arial"/>
          <w:sz w:val="22"/>
          <w:szCs w:val="22"/>
          <w:lang w:val="es-ES"/>
        </w:rPr>
        <w:t>es</w:t>
      </w:r>
      <w:r w:rsidRPr="00C74525">
        <w:rPr>
          <w:rFonts w:cs="Arial"/>
          <w:sz w:val="22"/>
          <w:szCs w:val="22"/>
          <w:lang w:val="es-ES"/>
        </w:rPr>
        <w:t xml:space="preserve"> a </w:t>
      </w:r>
      <w:r w:rsidR="00520F51" w:rsidRPr="00C74525">
        <w:rPr>
          <w:rFonts w:cs="Arial"/>
          <w:sz w:val="22"/>
          <w:szCs w:val="22"/>
          <w:lang w:val="es-ES"/>
        </w:rPr>
        <w:t>dichas acciones</w:t>
      </w:r>
      <w:r w:rsidR="00DD2AE6" w:rsidRPr="00C74525">
        <w:rPr>
          <w:rFonts w:cs="Arial"/>
          <w:sz w:val="22"/>
          <w:szCs w:val="22"/>
          <w:lang w:val="es-ES"/>
        </w:rPr>
        <w:t>, los cuales fueron</w:t>
      </w:r>
      <w:r w:rsidR="00006DF0" w:rsidRPr="00C74525">
        <w:rPr>
          <w:rFonts w:cs="Arial"/>
          <w:sz w:val="22"/>
          <w:szCs w:val="22"/>
          <w:lang w:val="es-ES"/>
        </w:rPr>
        <w:t xml:space="preserve"> el insumo principal para los informes trimestrales que emit</w:t>
      </w:r>
      <w:r w:rsidR="00DD2AE6" w:rsidRPr="00C74525">
        <w:rPr>
          <w:rFonts w:cs="Arial"/>
          <w:sz w:val="22"/>
          <w:szCs w:val="22"/>
          <w:lang w:val="es-ES"/>
        </w:rPr>
        <w:t>ió</w:t>
      </w:r>
      <w:r w:rsidR="00006DF0" w:rsidRPr="00C74525">
        <w:rPr>
          <w:rFonts w:cs="Arial"/>
          <w:sz w:val="22"/>
          <w:szCs w:val="22"/>
          <w:lang w:val="es-ES"/>
        </w:rPr>
        <w:t xml:space="preserve"> la Oficina de Control Interno.</w:t>
      </w:r>
      <w:r w:rsidR="00D61351" w:rsidRPr="00C74525">
        <w:rPr>
          <w:rFonts w:cs="Arial"/>
          <w:sz w:val="22"/>
          <w:szCs w:val="22"/>
          <w:lang w:val="es-ES"/>
        </w:rPr>
        <w:t xml:space="preserve"> </w:t>
      </w:r>
      <w:r w:rsidR="00DD2AE6" w:rsidRPr="00C74525">
        <w:rPr>
          <w:rFonts w:cs="Arial"/>
          <w:sz w:val="22"/>
          <w:szCs w:val="22"/>
        </w:rPr>
        <w:t>Estos</w:t>
      </w:r>
      <w:r w:rsidR="00D61351" w:rsidRPr="00C74525">
        <w:rPr>
          <w:rFonts w:cs="Arial"/>
          <w:sz w:val="22"/>
          <w:szCs w:val="22"/>
        </w:rPr>
        <w:t xml:space="preserve"> últimos muestran que</w:t>
      </w:r>
      <w:r w:rsidR="00D61351" w:rsidRPr="00C74525">
        <w:rPr>
          <w:rFonts w:cs="Arial"/>
          <w:sz w:val="22"/>
          <w:szCs w:val="22"/>
          <w:lang w:val="es-ES"/>
        </w:rPr>
        <w:t xml:space="preserve"> la gestión de los planes de mejoramiento, avanza favorablemente en la entidad. </w:t>
      </w:r>
      <w:r w:rsidR="00CD7F5C" w:rsidRPr="00C74525">
        <w:rPr>
          <w:rFonts w:cs="Arial"/>
          <w:sz w:val="22"/>
          <w:szCs w:val="22"/>
          <w:lang w:val="es-ES"/>
        </w:rPr>
        <w:t>Para este corte</w:t>
      </w:r>
      <w:r w:rsidR="00D640B1" w:rsidRPr="00C74525">
        <w:rPr>
          <w:rFonts w:cs="Arial"/>
          <w:sz w:val="22"/>
          <w:szCs w:val="22"/>
          <w:lang w:val="es-ES"/>
        </w:rPr>
        <w:t>, l</w:t>
      </w:r>
      <w:r w:rsidR="00F91015" w:rsidRPr="00C74525">
        <w:rPr>
          <w:rFonts w:cs="Arial"/>
          <w:sz w:val="22"/>
          <w:szCs w:val="22"/>
          <w:lang w:val="es-ES"/>
        </w:rPr>
        <w:t xml:space="preserve">as acciones </w:t>
      </w:r>
      <w:r w:rsidR="00D640B1" w:rsidRPr="00C74525">
        <w:rPr>
          <w:rFonts w:cs="Arial"/>
          <w:sz w:val="22"/>
          <w:szCs w:val="22"/>
          <w:lang w:val="es-ES"/>
        </w:rPr>
        <w:t xml:space="preserve">tienen </w:t>
      </w:r>
      <w:r w:rsidR="00F91015" w:rsidRPr="00C74525">
        <w:rPr>
          <w:rFonts w:cs="Arial"/>
          <w:sz w:val="22"/>
          <w:szCs w:val="22"/>
          <w:lang w:val="es-ES"/>
        </w:rPr>
        <w:t>el siguiente estado</w:t>
      </w:r>
      <w:r w:rsidR="00D640B1" w:rsidRPr="00C74525">
        <w:rPr>
          <w:rFonts w:cs="Arial"/>
          <w:sz w:val="22"/>
          <w:szCs w:val="22"/>
          <w:lang w:val="es-ES"/>
        </w:rPr>
        <w:t>:</w:t>
      </w:r>
    </w:p>
    <w:p w:rsidR="00F91015" w:rsidRPr="00C74525" w:rsidRDefault="00F91015" w:rsidP="00C74525">
      <w:pPr>
        <w:rPr>
          <w:rFonts w:cs="Arial"/>
          <w:sz w:val="22"/>
          <w:szCs w:val="22"/>
          <w:lang w:val="es-ES"/>
        </w:rPr>
      </w:pPr>
    </w:p>
    <w:p w:rsidR="00F91015" w:rsidRPr="00C74525" w:rsidRDefault="0092077B" w:rsidP="00C74525">
      <w:pPr>
        <w:jc w:val="center"/>
        <w:rPr>
          <w:rFonts w:cs="Arial"/>
          <w:sz w:val="18"/>
          <w:szCs w:val="18"/>
        </w:rPr>
      </w:pPr>
      <w:r w:rsidRPr="00C74525">
        <w:rPr>
          <w:rFonts w:cs="Arial"/>
          <w:sz w:val="18"/>
          <w:szCs w:val="18"/>
        </w:rPr>
        <w:t>Tabla 3</w:t>
      </w:r>
      <w:r w:rsidR="00F91015" w:rsidRPr="00C74525">
        <w:rPr>
          <w:rFonts w:cs="Arial"/>
          <w:sz w:val="18"/>
          <w:szCs w:val="18"/>
        </w:rPr>
        <w:t>: Acciones de los planes de mejoramiento</w:t>
      </w:r>
      <w:r w:rsidR="00520F51" w:rsidRPr="00C74525">
        <w:rPr>
          <w:rFonts w:cs="Arial"/>
          <w:sz w:val="18"/>
          <w:szCs w:val="18"/>
        </w:rPr>
        <w:t xml:space="preserve"> al</w:t>
      </w:r>
      <w:r w:rsidR="000627A8" w:rsidRPr="00C74525">
        <w:rPr>
          <w:rFonts w:cs="Arial"/>
          <w:sz w:val="18"/>
          <w:szCs w:val="18"/>
        </w:rPr>
        <w:t xml:space="preserve"> </w:t>
      </w:r>
      <w:r w:rsidR="00520F51" w:rsidRPr="00C74525">
        <w:rPr>
          <w:rFonts w:cs="Arial"/>
          <w:sz w:val="18"/>
          <w:szCs w:val="18"/>
        </w:rPr>
        <w:t>primer semestre del año 2019</w:t>
      </w:r>
    </w:p>
    <w:tbl>
      <w:tblPr>
        <w:tblW w:w="3857" w:type="dxa"/>
        <w:jc w:val="center"/>
        <w:tblCellMar>
          <w:left w:w="70" w:type="dxa"/>
          <w:right w:w="70" w:type="dxa"/>
        </w:tblCellMar>
        <w:tblLook w:val="04A0" w:firstRow="1" w:lastRow="0" w:firstColumn="1" w:lastColumn="0" w:noHBand="0" w:noVBand="1"/>
      </w:tblPr>
      <w:tblGrid>
        <w:gridCol w:w="2595"/>
        <w:gridCol w:w="1262"/>
      </w:tblGrid>
      <w:tr w:rsidR="00F91015" w:rsidRPr="00C74525" w:rsidTr="00B56F0E">
        <w:trPr>
          <w:cantSplit/>
          <w:trHeight w:val="20"/>
          <w:jc w:val="center"/>
        </w:trPr>
        <w:tc>
          <w:tcPr>
            <w:tcW w:w="38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91015" w:rsidRPr="00C74525" w:rsidRDefault="00F91015" w:rsidP="00C74525">
            <w:pPr>
              <w:jc w:val="center"/>
              <w:rPr>
                <w:rFonts w:cs="Arial"/>
                <w:b/>
                <w:bCs/>
                <w:sz w:val="18"/>
                <w:szCs w:val="18"/>
                <w:lang w:val="es-ES" w:eastAsia="es-ES"/>
              </w:rPr>
            </w:pPr>
            <w:r w:rsidRPr="00C74525">
              <w:rPr>
                <w:rFonts w:cs="Arial"/>
                <w:b/>
                <w:bCs/>
                <w:sz w:val="18"/>
                <w:szCs w:val="18"/>
                <w:lang w:val="es-ES" w:eastAsia="es-ES"/>
              </w:rPr>
              <w:t>Acciones de los planes de mejoramiento</w:t>
            </w:r>
          </w:p>
        </w:tc>
      </w:tr>
      <w:tr w:rsidR="00F91015" w:rsidRPr="00C74525" w:rsidTr="00B56F0E">
        <w:trPr>
          <w:cantSplit/>
          <w:trHeight w:val="20"/>
          <w:jc w:val="center"/>
        </w:trPr>
        <w:tc>
          <w:tcPr>
            <w:tcW w:w="2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F91015" w:rsidRPr="00C74525" w:rsidRDefault="00F91015" w:rsidP="00C74525">
            <w:pPr>
              <w:jc w:val="left"/>
              <w:rPr>
                <w:rFonts w:cs="Arial"/>
                <w:b/>
                <w:sz w:val="18"/>
                <w:szCs w:val="18"/>
                <w:lang w:val="es-ES" w:eastAsia="es-ES"/>
              </w:rPr>
            </w:pPr>
            <w:r w:rsidRPr="00C74525">
              <w:rPr>
                <w:rFonts w:cs="Arial"/>
                <w:b/>
                <w:sz w:val="18"/>
                <w:szCs w:val="18"/>
                <w:lang w:val="es-ES" w:eastAsia="es-ES"/>
              </w:rPr>
              <w:t>Estado</w:t>
            </w:r>
          </w:p>
        </w:tc>
        <w:tc>
          <w:tcPr>
            <w:tcW w:w="1262"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F91015" w:rsidRPr="00C74525" w:rsidRDefault="00F91015" w:rsidP="00C74525">
            <w:pPr>
              <w:jc w:val="center"/>
              <w:rPr>
                <w:rFonts w:cs="Arial"/>
                <w:b/>
                <w:sz w:val="18"/>
                <w:szCs w:val="18"/>
                <w:lang w:val="es-ES" w:eastAsia="es-ES"/>
              </w:rPr>
            </w:pPr>
            <w:r w:rsidRPr="00C74525">
              <w:rPr>
                <w:rFonts w:cs="Arial"/>
                <w:b/>
                <w:sz w:val="18"/>
                <w:szCs w:val="18"/>
                <w:lang w:val="es-ES" w:eastAsia="es-ES"/>
              </w:rPr>
              <w:t>Cantidad</w:t>
            </w:r>
          </w:p>
        </w:tc>
      </w:tr>
      <w:tr w:rsidR="00360F34" w:rsidRPr="00C74525" w:rsidTr="00B56F0E">
        <w:trPr>
          <w:cantSplit/>
          <w:trHeight w:val="20"/>
          <w:jc w:val="center"/>
        </w:trPr>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F34" w:rsidRPr="00C74525" w:rsidRDefault="00360F34" w:rsidP="00C74525">
            <w:pPr>
              <w:jc w:val="left"/>
              <w:rPr>
                <w:rFonts w:cs="Arial"/>
                <w:bCs/>
                <w:sz w:val="18"/>
                <w:szCs w:val="18"/>
                <w:lang w:val="es-ES" w:eastAsia="es-ES"/>
              </w:rPr>
            </w:pPr>
            <w:r w:rsidRPr="00C74525">
              <w:rPr>
                <w:rFonts w:cs="Arial"/>
                <w:bCs/>
                <w:sz w:val="18"/>
                <w:szCs w:val="18"/>
                <w:lang w:val="es-ES" w:eastAsia="es-ES"/>
              </w:rPr>
              <w:t>En desarrollo</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360F34" w:rsidRPr="00C74525" w:rsidRDefault="00DB347E" w:rsidP="00C74525">
            <w:pPr>
              <w:jc w:val="center"/>
              <w:rPr>
                <w:rFonts w:cs="Arial"/>
                <w:sz w:val="18"/>
                <w:szCs w:val="18"/>
                <w:lang w:val="es-ES" w:eastAsia="es-ES"/>
              </w:rPr>
            </w:pPr>
            <w:r w:rsidRPr="00C74525">
              <w:rPr>
                <w:rFonts w:cs="Arial"/>
                <w:sz w:val="18"/>
                <w:szCs w:val="18"/>
                <w:lang w:val="es-ES" w:eastAsia="es-ES"/>
              </w:rPr>
              <w:t>130</w:t>
            </w:r>
          </w:p>
        </w:tc>
      </w:tr>
      <w:tr w:rsidR="00360F34" w:rsidRPr="00C74525" w:rsidTr="00B56F0E">
        <w:trPr>
          <w:cantSplit/>
          <w:trHeight w:val="20"/>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360F34" w:rsidRPr="00C74525" w:rsidRDefault="00360F34" w:rsidP="00C74525">
            <w:pPr>
              <w:jc w:val="left"/>
              <w:rPr>
                <w:rFonts w:cs="Arial"/>
                <w:bCs/>
                <w:sz w:val="18"/>
                <w:szCs w:val="18"/>
                <w:lang w:val="es-ES" w:eastAsia="es-ES"/>
              </w:rPr>
            </w:pPr>
            <w:r w:rsidRPr="00C74525">
              <w:rPr>
                <w:rFonts w:cs="Arial"/>
                <w:bCs/>
                <w:sz w:val="18"/>
                <w:szCs w:val="18"/>
                <w:lang w:val="es-ES" w:eastAsia="es-ES"/>
              </w:rPr>
              <w:t>En seguimiento</w:t>
            </w:r>
          </w:p>
        </w:tc>
        <w:tc>
          <w:tcPr>
            <w:tcW w:w="1262" w:type="dxa"/>
            <w:tcBorders>
              <w:top w:val="nil"/>
              <w:left w:val="nil"/>
              <w:bottom w:val="single" w:sz="4" w:space="0" w:color="auto"/>
              <w:right w:val="single" w:sz="4" w:space="0" w:color="auto"/>
            </w:tcBorders>
            <w:shd w:val="clear" w:color="auto" w:fill="auto"/>
            <w:vAlign w:val="center"/>
            <w:hideMark/>
          </w:tcPr>
          <w:p w:rsidR="00360F34" w:rsidRPr="00C74525" w:rsidRDefault="00DB347E" w:rsidP="00C74525">
            <w:pPr>
              <w:jc w:val="center"/>
              <w:rPr>
                <w:rFonts w:cs="Arial"/>
                <w:sz w:val="18"/>
                <w:szCs w:val="18"/>
                <w:lang w:val="es-ES" w:eastAsia="es-ES"/>
              </w:rPr>
            </w:pPr>
            <w:r w:rsidRPr="00C74525">
              <w:rPr>
                <w:rFonts w:cs="Arial"/>
                <w:sz w:val="18"/>
                <w:szCs w:val="18"/>
                <w:lang w:val="es-ES" w:eastAsia="es-ES"/>
              </w:rPr>
              <w:t>30</w:t>
            </w:r>
          </w:p>
        </w:tc>
      </w:tr>
      <w:tr w:rsidR="00360F34" w:rsidRPr="00C74525" w:rsidTr="00B56F0E">
        <w:trPr>
          <w:cantSplit/>
          <w:trHeight w:val="20"/>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360F34" w:rsidRPr="00C74525" w:rsidRDefault="00360F34" w:rsidP="00C74525">
            <w:pPr>
              <w:jc w:val="left"/>
              <w:rPr>
                <w:rFonts w:cs="Arial"/>
                <w:bCs/>
                <w:sz w:val="18"/>
                <w:szCs w:val="18"/>
                <w:lang w:val="es-ES" w:eastAsia="es-ES"/>
              </w:rPr>
            </w:pPr>
            <w:r w:rsidRPr="00C74525">
              <w:rPr>
                <w:rFonts w:cs="Arial"/>
                <w:bCs/>
                <w:sz w:val="18"/>
                <w:szCs w:val="18"/>
                <w:lang w:val="es-ES" w:eastAsia="es-ES"/>
              </w:rPr>
              <w:t>Cumplida en seguimiento</w:t>
            </w:r>
          </w:p>
        </w:tc>
        <w:tc>
          <w:tcPr>
            <w:tcW w:w="1262" w:type="dxa"/>
            <w:tcBorders>
              <w:top w:val="nil"/>
              <w:left w:val="nil"/>
              <w:bottom w:val="single" w:sz="4" w:space="0" w:color="auto"/>
              <w:right w:val="single" w:sz="4" w:space="0" w:color="auto"/>
            </w:tcBorders>
            <w:shd w:val="clear" w:color="auto" w:fill="auto"/>
            <w:vAlign w:val="center"/>
            <w:hideMark/>
          </w:tcPr>
          <w:p w:rsidR="00360F34" w:rsidRPr="00C74525" w:rsidRDefault="00DB347E" w:rsidP="00C74525">
            <w:pPr>
              <w:jc w:val="center"/>
              <w:rPr>
                <w:rFonts w:cs="Arial"/>
                <w:sz w:val="18"/>
                <w:szCs w:val="18"/>
                <w:lang w:val="es-ES" w:eastAsia="es-ES"/>
              </w:rPr>
            </w:pPr>
            <w:r w:rsidRPr="00C74525">
              <w:rPr>
                <w:rFonts w:cs="Arial"/>
                <w:sz w:val="18"/>
                <w:szCs w:val="18"/>
                <w:lang w:val="es-ES" w:eastAsia="es-ES"/>
              </w:rPr>
              <w:t>1</w:t>
            </w:r>
          </w:p>
        </w:tc>
      </w:tr>
      <w:tr w:rsidR="00360F34" w:rsidRPr="00C74525" w:rsidTr="00B56F0E">
        <w:trPr>
          <w:cantSplit/>
          <w:trHeight w:val="20"/>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360F34" w:rsidRPr="00C74525" w:rsidRDefault="00360F34" w:rsidP="00C74525">
            <w:pPr>
              <w:jc w:val="left"/>
              <w:rPr>
                <w:rFonts w:cs="Arial"/>
                <w:bCs/>
                <w:sz w:val="18"/>
                <w:szCs w:val="18"/>
                <w:lang w:val="es-ES" w:eastAsia="es-ES"/>
              </w:rPr>
            </w:pPr>
            <w:r w:rsidRPr="00C74525">
              <w:rPr>
                <w:rFonts w:cs="Arial"/>
                <w:bCs/>
                <w:sz w:val="18"/>
                <w:szCs w:val="18"/>
                <w:lang w:val="es-ES" w:eastAsia="es-ES"/>
              </w:rPr>
              <w:t>Alerta</w:t>
            </w:r>
          </w:p>
        </w:tc>
        <w:tc>
          <w:tcPr>
            <w:tcW w:w="1262" w:type="dxa"/>
            <w:tcBorders>
              <w:top w:val="nil"/>
              <w:left w:val="nil"/>
              <w:bottom w:val="single" w:sz="4" w:space="0" w:color="auto"/>
              <w:right w:val="single" w:sz="4" w:space="0" w:color="auto"/>
            </w:tcBorders>
            <w:shd w:val="clear" w:color="auto" w:fill="auto"/>
            <w:vAlign w:val="center"/>
            <w:hideMark/>
          </w:tcPr>
          <w:p w:rsidR="00360F34" w:rsidRPr="00C74525" w:rsidRDefault="00DB347E" w:rsidP="00C74525">
            <w:pPr>
              <w:jc w:val="center"/>
              <w:rPr>
                <w:rFonts w:cs="Arial"/>
                <w:sz w:val="18"/>
                <w:szCs w:val="18"/>
                <w:lang w:val="es-ES" w:eastAsia="es-ES"/>
              </w:rPr>
            </w:pPr>
            <w:r w:rsidRPr="00C74525">
              <w:rPr>
                <w:rFonts w:cs="Arial"/>
                <w:sz w:val="18"/>
                <w:szCs w:val="18"/>
                <w:lang w:val="es-ES" w:eastAsia="es-ES"/>
              </w:rPr>
              <w:t>21</w:t>
            </w:r>
          </w:p>
        </w:tc>
      </w:tr>
      <w:tr w:rsidR="00360F34" w:rsidRPr="00C74525" w:rsidTr="00B56F0E">
        <w:trPr>
          <w:cantSplit/>
          <w:trHeight w:val="20"/>
          <w:jc w:val="center"/>
        </w:trPr>
        <w:tc>
          <w:tcPr>
            <w:tcW w:w="2595" w:type="dxa"/>
            <w:tcBorders>
              <w:top w:val="nil"/>
              <w:left w:val="single" w:sz="4" w:space="0" w:color="auto"/>
              <w:bottom w:val="single" w:sz="4" w:space="0" w:color="auto"/>
              <w:right w:val="single" w:sz="4" w:space="0" w:color="auto"/>
            </w:tcBorders>
            <w:shd w:val="clear" w:color="auto" w:fill="auto"/>
            <w:vAlign w:val="center"/>
            <w:hideMark/>
          </w:tcPr>
          <w:p w:rsidR="00360F34" w:rsidRPr="00C74525" w:rsidRDefault="00360F34" w:rsidP="00C74525">
            <w:pPr>
              <w:jc w:val="left"/>
              <w:rPr>
                <w:rFonts w:cs="Arial"/>
                <w:bCs/>
                <w:sz w:val="18"/>
                <w:szCs w:val="18"/>
                <w:lang w:val="es-ES" w:eastAsia="es-ES"/>
              </w:rPr>
            </w:pPr>
            <w:r w:rsidRPr="00C74525">
              <w:rPr>
                <w:rFonts w:cs="Arial"/>
                <w:bCs/>
                <w:sz w:val="18"/>
                <w:szCs w:val="18"/>
                <w:lang w:val="es-ES" w:eastAsia="es-ES"/>
              </w:rPr>
              <w:t>Vencida</w:t>
            </w:r>
          </w:p>
        </w:tc>
        <w:tc>
          <w:tcPr>
            <w:tcW w:w="1262" w:type="dxa"/>
            <w:tcBorders>
              <w:top w:val="nil"/>
              <w:left w:val="nil"/>
              <w:bottom w:val="single" w:sz="4" w:space="0" w:color="auto"/>
              <w:right w:val="single" w:sz="4" w:space="0" w:color="auto"/>
            </w:tcBorders>
            <w:shd w:val="clear" w:color="auto" w:fill="auto"/>
            <w:vAlign w:val="center"/>
            <w:hideMark/>
          </w:tcPr>
          <w:p w:rsidR="00360F34" w:rsidRPr="00C74525" w:rsidRDefault="00DB347E" w:rsidP="00C74525">
            <w:pPr>
              <w:jc w:val="center"/>
              <w:rPr>
                <w:rFonts w:cs="Arial"/>
                <w:sz w:val="18"/>
                <w:szCs w:val="18"/>
                <w:lang w:val="es-ES" w:eastAsia="es-ES"/>
              </w:rPr>
            </w:pPr>
            <w:r w:rsidRPr="00C74525">
              <w:rPr>
                <w:rFonts w:cs="Arial"/>
                <w:sz w:val="18"/>
                <w:szCs w:val="18"/>
                <w:lang w:val="es-ES" w:eastAsia="es-ES"/>
              </w:rPr>
              <w:t>6</w:t>
            </w:r>
          </w:p>
        </w:tc>
      </w:tr>
      <w:tr w:rsidR="00360F34" w:rsidRPr="00C74525" w:rsidTr="00B56F0E">
        <w:trPr>
          <w:cantSplit/>
          <w:trHeight w:val="20"/>
          <w:jc w:val="center"/>
        </w:trPr>
        <w:tc>
          <w:tcPr>
            <w:tcW w:w="25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360F34" w:rsidRPr="00C74525" w:rsidRDefault="00360F34" w:rsidP="00C74525">
            <w:pPr>
              <w:jc w:val="left"/>
              <w:rPr>
                <w:rFonts w:cs="Arial"/>
                <w:b/>
                <w:bCs/>
                <w:sz w:val="18"/>
                <w:szCs w:val="18"/>
                <w:lang w:val="es-ES" w:eastAsia="es-ES"/>
              </w:rPr>
            </w:pPr>
            <w:r w:rsidRPr="00C74525">
              <w:rPr>
                <w:rFonts w:cs="Arial"/>
                <w:b/>
                <w:bCs/>
                <w:sz w:val="18"/>
                <w:szCs w:val="18"/>
                <w:lang w:val="es-ES" w:eastAsia="es-ES"/>
              </w:rPr>
              <w:t>Total</w:t>
            </w:r>
          </w:p>
        </w:tc>
        <w:tc>
          <w:tcPr>
            <w:tcW w:w="1262" w:type="dxa"/>
            <w:tcBorders>
              <w:top w:val="nil"/>
              <w:left w:val="nil"/>
              <w:bottom w:val="single" w:sz="4" w:space="0" w:color="auto"/>
              <w:right w:val="single" w:sz="4" w:space="0" w:color="auto"/>
            </w:tcBorders>
            <w:shd w:val="clear" w:color="auto" w:fill="BFBFBF" w:themeFill="background1" w:themeFillShade="BF"/>
            <w:vAlign w:val="center"/>
            <w:hideMark/>
          </w:tcPr>
          <w:p w:rsidR="00360F34" w:rsidRPr="00C74525" w:rsidRDefault="00DB347E" w:rsidP="00C74525">
            <w:pPr>
              <w:jc w:val="center"/>
              <w:rPr>
                <w:rFonts w:cs="Arial"/>
                <w:b/>
                <w:sz w:val="18"/>
                <w:szCs w:val="18"/>
                <w:lang w:val="es-ES" w:eastAsia="es-ES"/>
              </w:rPr>
            </w:pPr>
            <w:r w:rsidRPr="00C74525">
              <w:rPr>
                <w:rFonts w:cs="Arial"/>
                <w:b/>
                <w:sz w:val="18"/>
                <w:szCs w:val="18"/>
                <w:lang w:val="es-ES" w:eastAsia="es-ES"/>
              </w:rPr>
              <w:t>188</w:t>
            </w:r>
          </w:p>
        </w:tc>
      </w:tr>
    </w:tbl>
    <w:p w:rsidR="000627A8" w:rsidRPr="00C74525" w:rsidRDefault="000627A8" w:rsidP="00C74525">
      <w:pPr>
        <w:jc w:val="center"/>
        <w:rPr>
          <w:rFonts w:cs="Arial"/>
          <w:sz w:val="18"/>
          <w:szCs w:val="18"/>
        </w:rPr>
      </w:pPr>
      <w:r w:rsidRPr="00C74525">
        <w:rPr>
          <w:rFonts w:cs="Arial"/>
          <w:sz w:val="18"/>
          <w:szCs w:val="18"/>
        </w:rPr>
        <w:t xml:space="preserve">Fuente: </w:t>
      </w:r>
      <w:r w:rsidR="00DB347E" w:rsidRPr="00C74525">
        <w:rPr>
          <w:rFonts w:cs="Arial"/>
          <w:sz w:val="18"/>
          <w:szCs w:val="18"/>
        </w:rPr>
        <w:t xml:space="preserve">Reporte “Matriz todo” del </w:t>
      </w:r>
      <w:r w:rsidRPr="00C74525">
        <w:rPr>
          <w:rFonts w:cs="Arial"/>
          <w:sz w:val="18"/>
          <w:szCs w:val="18"/>
        </w:rPr>
        <w:t>Módulo de planes de mejoramiento del aplicativo SIPA.</w:t>
      </w:r>
    </w:p>
    <w:p w:rsidR="00360F34" w:rsidRPr="00C74525" w:rsidRDefault="00360F34" w:rsidP="00C74525">
      <w:pPr>
        <w:rPr>
          <w:rFonts w:cs="Arial"/>
          <w:sz w:val="22"/>
          <w:szCs w:val="22"/>
        </w:rPr>
      </w:pPr>
    </w:p>
    <w:p w:rsidR="006F123E" w:rsidRPr="00C74525" w:rsidRDefault="006F123E"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4" w:name="_Toc13141905"/>
      <w:r w:rsidRPr="00C74525">
        <w:rPr>
          <w:rFonts w:ascii="Arial" w:hAnsi="Arial" w:cs="Arial"/>
          <w:color w:val="auto"/>
          <w:sz w:val="22"/>
          <w:szCs w:val="22"/>
        </w:rPr>
        <w:t>Indicadores</w:t>
      </w:r>
      <w:bookmarkEnd w:id="4"/>
    </w:p>
    <w:p w:rsidR="006F123E" w:rsidRPr="00C74525" w:rsidRDefault="006F123E" w:rsidP="00C74525">
      <w:pPr>
        <w:rPr>
          <w:rFonts w:cs="Arial"/>
          <w:b/>
          <w:sz w:val="22"/>
          <w:szCs w:val="22"/>
        </w:rPr>
      </w:pPr>
    </w:p>
    <w:p w:rsidR="00FE41BC" w:rsidRPr="00C74525" w:rsidRDefault="006F123E" w:rsidP="00C74525">
      <w:pPr>
        <w:rPr>
          <w:rFonts w:cs="Arial"/>
          <w:sz w:val="22"/>
          <w:szCs w:val="22"/>
        </w:rPr>
      </w:pPr>
      <w:r w:rsidRPr="00C74525">
        <w:rPr>
          <w:rFonts w:cs="Arial"/>
          <w:sz w:val="22"/>
          <w:szCs w:val="22"/>
        </w:rPr>
        <w:t xml:space="preserve">La </w:t>
      </w:r>
      <w:r w:rsidR="00D921BF">
        <w:rPr>
          <w:rFonts w:cs="Arial"/>
          <w:sz w:val="22"/>
          <w:szCs w:val="22"/>
        </w:rPr>
        <w:t>gestión</w:t>
      </w:r>
      <w:r w:rsidRPr="00C74525">
        <w:rPr>
          <w:rFonts w:cs="Arial"/>
          <w:sz w:val="22"/>
          <w:szCs w:val="22"/>
        </w:rPr>
        <w:t xml:space="preserve"> de indicadores se originó formalmente mediante Resolución 0546 de diciembre 29 de 1998, desde entonces viene evolucionando y fortaleciéndose, valiéndose de diferentes medios y metodologías. La entidad cuenta actualmente con una batería de indicadores, los cuales se </w:t>
      </w:r>
      <w:r w:rsidR="00A63116" w:rsidRPr="00C74525">
        <w:rPr>
          <w:rFonts w:cs="Arial"/>
          <w:sz w:val="22"/>
          <w:szCs w:val="22"/>
        </w:rPr>
        <w:t xml:space="preserve">gestionan </w:t>
      </w:r>
      <w:r w:rsidRPr="00C74525">
        <w:rPr>
          <w:rFonts w:cs="Arial"/>
          <w:sz w:val="22"/>
          <w:szCs w:val="22"/>
        </w:rPr>
        <w:t xml:space="preserve">en </w:t>
      </w:r>
      <w:r w:rsidR="00230DC6" w:rsidRPr="00C74525">
        <w:rPr>
          <w:rFonts w:cs="Arial"/>
          <w:sz w:val="22"/>
          <w:szCs w:val="22"/>
        </w:rPr>
        <w:t>la herramienta</w:t>
      </w:r>
      <w:r w:rsidRPr="00C74525">
        <w:rPr>
          <w:rFonts w:cs="Arial"/>
          <w:sz w:val="22"/>
          <w:szCs w:val="22"/>
        </w:rPr>
        <w:t xml:space="preserve"> SIIP, que comprende tanto la hoja de vida de cada indicador, como los seguimientos respectivos.</w:t>
      </w:r>
      <w:r w:rsidR="00171E54" w:rsidRPr="00C74525">
        <w:rPr>
          <w:rFonts w:cs="Arial"/>
          <w:sz w:val="22"/>
          <w:szCs w:val="22"/>
        </w:rPr>
        <w:t xml:space="preserve"> </w:t>
      </w:r>
      <w:r w:rsidR="00FE41BC" w:rsidRPr="00C74525">
        <w:rPr>
          <w:rFonts w:cs="Arial"/>
          <w:sz w:val="22"/>
          <w:szCs w:val="22"/>
        </w:rPr>
        <w:t xml:space="preserve">En su gran mayoría son indicadores de </w:t>
      </w:r>
      <w:r w:rsidR="003835C7" w:rsidRPr="00C74525">
        <w:rPr>
          <w:rFonts w:cs="Arial"/>
          <w:sz w:val="22"/>
          <w:szCs w:val="22"/>
        </w:rPr>
        <w:t>gestión</w:t>
      </w:r>
      <w:r w:rsidR="00FE41BC" w:rsidRPr="00C74525">
        <w:rPr>
          <w:rFonts w:cs="Arial"/>
          <w:sz w:val="22"/>
          <w:szCs w:val="22"/>
        </w:rPr>
        <w:t>, como se muestra a continuación:</w:t>
      </w:r>
    </w:p>
    <w:p w:rsidR="00FE41BC" w:rsidRPr="00C74525" w:rsidRDefault="00FE41BC" w:rsidP="00C74525">
      <w:pPr>
        <w:rPr>
          <w:rFonts w:cs="Arial"/>
          <w:sz w:val="22"/>
          <w:szCs w:val="22"/>
        </w:rPr>
      </w:pPr>
    </w:p>
    <w:p w:rsidR="000627A8" w:rsidRPr="00C74525" w:rsidRDefault="0092077B" w:rsidP="00C74525">
      <w:pPr>
        <w:jc w:val="center"/>
        <w:rPr>
          <w:rFonts w:cs="Arial"/>
          <w:sz w:val="18"/>
          <w:szCs w:val="18"/>
        </w:rPr>
      </w:pPr>
      <w:r w:rsidRPr="00C74525">
        <w:rPr>
          <w:rFonts w:cs="Arial"/>
          <w:sz w:val="18"/>
          <w:szCs w:val="18"/>
        </w:rPr>
        <w:t>Tabla 4</w:t>
      </w:r>
      <w:r w:rsidR="000627A8" w:rsidRPr="00C74525">
        <w:rPr>
          <w:rFonts w:cs="Arial"/>
          <w:sz w:val="18"/>
          <w:szCs w:val="18"/>
        </w:rPr>
        <w:t xml:space="preserve">: Cantidad de indicadores activos al </w:t>
      </w:r>
      <w:r w:rsidR="00A63116" w:rsidRPr="00C74525">
        <w:rPr>
          <w:rFonts w:cs="Arial"/>
          <w:sz w:val="18"/>
          <w:szCs w:val="18"/>
        </w:rPr>
        <w:t>primer semestre del 2019</w:t>
      </w:r>
      <w:r w:rsidR="000627A8" w:rsidRPr="00C74525">
        <w:rPr>
          <w:rFonts w:cs="Arial"/>
          <w:sz w:val="18"/>
          <w:szCs w:val="18"/>
        </w:rPr>
        <w:t>.</w:t>
      </w:r>
    </w:p>
    <w:tbl>
      <w:tblPr>
        <w:tblW w:w="3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475"/>
      </w:tblGrid>
      <w:tr w:rsidR="00FE41BC" w:rsidRPr="00C74525" w:rsidTr="000275A0">
        <w:trPr>
          <w:cantSplit/>
          <w:trHeight w:val="20"/>
          <w:tblHeader/>
          <w:jc w:val="center"/>
        </w:trPr>
        <w:tc>
          <w:tcPr>
            <w:tcW w:w="2410" w:type="dxa"/>
            <w:shd w:val="clear" w:color="auto" w:fill="BFBFBF"/>
            <w:vAlign w:val="center"/>
            <w:hideMark/>
          </w:tcPr>
          <w:p w:rsidR="00FE41BC" w:rsidRPr="00C74525" w:rsidRDefault="00E60340" w:rsidP="00C74525">
            <w:pPr>
              <w:jc w:val="left"/>
              <w:rPr>
                <w:rFonts w:cs="Arial"/>
                <w:b/>
                <w:sz w:val="18"/>
                <w:szCs w:val="18"/>
                <w:lang w:val="es-ES" w:eastAsia="es-ES"/>
              </w:rPr>
            </w:pPr>
            <w:r w:rsidRPr="00C74525">
              <w:rPr>
                <w:rFonts w:cs="Arial"/>
                <w:b/>
                <w:sz w:val="18"/>
                <w:szCs w:val="18"/>
                <w:lang w:val="es-ES" w:eastAsia="es-ES"/>
              </w:rPr>
              <w:t>Tipo</w:t>
            </w:r>
          </w:p>
        </w:tc>
        <w:tc>
          <w:tcPr>
            <w:tcW w:w="1475" w:type="dxa"/>
            <w:shd w:val="clear" w:color="auto" w:fill="BFBFBF"/>
            <w:vAlign w:val="center"/>
          </w:tcPr>
          <w:p w:rsidR="00FE41BC" w:rsidRPr="00C74525" w:rsidRDefault="00FE41BC" w:rsidP="00C74525">
            <w:pPr>
              <w:jc w:val="center"/>
              <w:rPr>
                <w:rFonts w:cs="Arial"/>
                <w:b/>
                <w:sz w:val="18"/>
                <w:szCs w:val="18"/>
                <w:lang w:val="es-ES" w:eastAsia="es-ES"/>
              </w:rPr>
            </w:pPr>
            <w:r w:rsidRPr="00C74525">
              <w:rPr>
                <w:rFonts w:cs="Arial"/>
                <w:b/>
                <w:sz w:val="18"/>
                <w:szCs w:val="18"/>
                <w:lang w:val="es-ES" w:eastAsia="es-ES"/>
              </w:rPr>
              <w:t>Indicadores</w:t>
            </w:r>
          </w:p>
        </w:tc>
      </w:tr>
      <w:tr w:rsidR="00FE41BC" w:rsidRPr="00C74525" w:rsidTr="000275A0">
        <w:trPr>
          <w:cantSplit/>
          <w:trHeight w:val="20"/>
          <w:jc w:val="center"/>
        </w:trPr>
        <w:tc>
          <w:tcPr>
            <w:tcW w:w="2410" w:type="dxa"/>
            <w:shd w:val="clear" w:color="auto" w:fill="auto"/>
            <w:vAlign w:val="center"/>
            <w:hideMark/>
          </w:tcPr>
          <w:p w:rsidR="00FE41BC" w:rsidRPr="00C74525" w:rsidRDefault="007E1C9C" w:rsidP="00C74525">
            <w:pPr>
              <w:jc w:val="left"/>
              <w:rPr>
                <w:rFonts w:cs="Arial"/>
                <w:sz w:val="18"/>
                <w:szCs w:val="18"/>
                <w:lang w:val="es-ES" w:eastAsia="es-ES"/>
              </w:rPr>
            </w:pPr>
            <w:r w:rsidRPr="00C74525">
              <w:rPr>
                <w:rFonts w:cs="Arial"/>
                <w:sz w:val="18"/>
                <w:szCs w:val="18"/>
                <w:lang w:val="es-ES" w:eastAsia="es-ES"/>
              </w:rPr>
              <w:t>Estratégica</w:t>
            </w:r>
          </w:p>
        </w:tc>
        <w:tc>
          <w:tcPr>
            <w:tcW w:w="1475" w:type="dxa"/>
            <w:vAlign w:val="center"/>
          </w:tcPr>
          <w:p w:rsidR="00FE41BC" w:rsidRPr="00C74525" w:rsidRDefault="007E1C9C" w:rsidP="00C74525">
            <w:pPr>
              <w:jc w:val="center"/>
              <w:rPr>
                <w:rFonts w:cs="Arial"/>
                <w:sz w:val="18"/>
                <w:szCs w:val="18"/>
                <w:lang w:val="es-ES" w:eastAsia="es-ES"/>
              </w:rPr>
            </w:pPr>
            <w:r w:rsidRPr="00C74525">
              <w:rPr>
                <w:rFonts w:cs="Arial"/>
                <w:sz w:val="18"/>
                <w:szCs w:val="18"/>
                <w:lang w:val="es-ES" w:eastAsia="es-ES"/>
              </w:rPr>
              <w:t>35</w:t>
            </w:r>
          </w:p>
        </w:tc>
      </w:tr>
      <w:tr w:rsidR="000275A0" w:rsidRPr="00C74525" w:rsidTr="000275A0">
        <w:trPr>
          <w:cantSplit/>
          <w:trHeight w:val="20"/>
          <w:jc w:val="center"/>
        </w:trPr>
        <w:tc>
          <w:tcPr>
            <w:tcW w:w="2410" w:type="dxa"/>
            <w:shd w:val="clear" w:color="auto" w:fill="auto"/>
            <w:vAlign w:val="center"/>
            <w:hideMark/>
          </w:tcPr>
          <w:p w:rsidR="000275A0" w:rsidRPr="00C74525" w:rsidRDefault="000275A0" w:rsidP="00C74525">
            <w:pPr>
              <w:jc w:val="left"/>
              <w:rPr>
                <w:rFonts w:cs="Arial"/>
                <w:sz w:val="18"/>
                <w:szCs w:val="18"/>
                <w:lang w:val="es-ES" w:eastAsia="es-ES"/>
              </w:rPr>
            </w:pPr>
            <w:r w:rsidRPr="00C74525">
              <w:rPr>
                <w:rFonts w:cs="Arial"/>
                <w:sz w:val="18"/>
                <w:szCs w:val="18"/>
                <w:lang w:val="es-ES" w:eastAsia="es-ES"/>
              </w:rPr>
              <w:t>Gestión</w:t>
            </w:r>
          </w:p>
        </w:tc>
        <w:tc>
          <w:tcPr>
            <w:tcW w:w="1475" w:type="dxa"/>
            <w:vAlign w:val="center"/>
          </w:tcPr>
          <w:p w:rsidR="000275A0" w:rsidRPr="00C74525" w:rsidRDefault="000275A0" w:rsidP="00C74525">
            <w:pPr>
              <w:jc w:val="center"/>
              <w:rPr>
                <w:rFonts w:cs="Arial"/>
                <w:sz w:val="18"/>
                <w:szCs w:val="18"/>
                <w:lang w:val="es-ES" w:eastAsia="es-ES"/>
              </w:rPr>
            </w:pPr>
            <w:r w:rsidRPr="00C74525">
              <w:rPr>
                <w:rFonts w:cs="Arial"/>
                <w:sz w:val="18"/>
                <w:szCs w:val="18"/>
                <w:lang w:val="es-ES" w:eastAsia="es-ES"/>
              </w:rPr>
              <w:t>90</w:t>
            </w:r>
          </w:p>
        </w:tc>
      </w:tr>
      <w:tr w:rsidR="000275A0" w:rsidRPr="00C74525" w:rsidTr="000275A0">
        <w:trPr>
          <w:cantSplit/>
          <w:trHeight w:val="20"/>
          <w:jc w:val="center"/>
        </w:trPr>
        <w:tc>
          <w:tcPr>
            <w:tcW w:w="2410" w:type="dxa"/>
            <w:shd w:val="clear" w:color="auto" w:fill="auto"/>
            <w:vAlign w:val="center"/>
            <w:hideMark/>
          </w:tcPr>
          <w:p w:rsidR="000275A0" w:rsidRPr="00C74525" w:rsidRDefault="000275A0" w:rsidP="00C74525">
            <w:pPr>
              <w:jc w:val="left"/>
              <w:rPr>
                <w:rFonts w:cs="Arial"/>
                <w:sz w:val="18"/>
                <w:szCs w:val="18"/>
                <w:lang w:val="es-ES" w:eastAsia="es-ES"/>
              </w:rPr>
            </w:pPr>
            <w:r w:rsidRPr="00C74525">
              <w:rPr>
                <w:rFonts w:cs="Arial"/>
                <w:sz w:val="18"/>
                <w:szCs w:val="18"/>
                <w:lang w:val="es-ES" w:eastAsia="es-ES"/>
              </w:rPr>
              <w:t>Inversión</w:t>
            </w:r>
          </w:p>
        </w:tc>
        <w:tc>
          <w:tcPr>
            <w:tcW w:w="1475" w:type="dxa"/>
            <w:vAlign w:val="center"/>
          </w:tcPr>
          <w:p w:rsidR="000275A0" w:rsidRPr="00C74525" w:rsidRDefault="000275A0" w:rsidP="00C74525">
            <w:pPr>
              <w:jc w:val="center"/>
              <w:rPr>
                <w:rFonts w:cs="Arial"/>
                <w:sz w:val="18"/>
                <w:szCs w:val="18"/>
                <w:lang w:val="es-ES" w:eastAsia="es-ES"/>
              </w:rPr>
            </w:pPr>
            <w:r w:rsidRPr="00C74525">
              <w:rPr>
                <w:rFonts w:cs="Arial"/>
                <w:sz w:val="18"/>
                <w:szCs w:val="18"/>
                <w:lang w:val="es-ES" w:eastAsia="es-ES"/>
              </w:rPr>
              <w:t>42</w:t>
            </w:r>
          </w:p>
        </w:tc>
      </w:tr>
      <w:tr w:rsidR="000275A0" w:rsidRPr="00C74525" w:rsidTr="000275A0">
        <w:trPr>
          <w:cantSplit/>
          <w:trHeight w:val="20"/>
          <w:jc w:val="center"/>
        </w:trPr>
        <w:tc>
          <w:tcPr>
            <w:tcW w:w="2410" w:type="dxa"/>
            <w:shd w:val="clear" w:color="auto" w:fill="auto"/>
            <w:vAlign w:val="center"/>
            <w:hideMark/>
          </w:tcPr>
          <w:p w:rsidR="000275A0" w:rsidRPr="00C74525" w:rsidRDefault="000275A0" w:rsidP="00C74525">
            <w:pPr>
              <w:jc w:val="left"/>
              <w:rPr>
                <w:rFonts w:cs="Arial"/>
                <w:sz w:val="18"/>
                <w:szCs w:val="18"/>
                <w:lang w:val="es-ES" w:eastAsia="es-ES"/>
              </w:rPr>
            </w:pPr>
            <w:r w:rsidRPr="00C74525">
              <w:rPr>
                <w:rFonts w:cs="Arial"/>
                <w:sz w:val="18"/>
                <w:szCs w:val="18"/>
                <w:lang w:val="es-ES" w:eastAsia="es-ES"/>
              </w:rPr>
              <w:t>Meta plan de Desarrollo</w:t>
            </w:r>
          </w:p>
        </w:tc>
        <w:tc>
          <w:tcPr>
            <w:tcW w:w="1475" w:type="dxa"/>
            <w:vAlign w:val="center"/>
          </w:tcPr>
          <w:p w:rsidR="000275A0" w:rsidRPr="00C74525" w:rsidRDefault="000275A0" w:rsidP="00C74525">
            <w:pPr>
              <w:jc w:val="center"/>
              <w:rPr>
                <w:rFonts w:cs="Arial"/>
                <w:sz w:val="18"/>
                <w:szCs w:val="18"/>
                <w:lang w:val="es-ES" w:eastAsia="es-ES"/>
              </w:rPr>
            </w:pPr>
            <w:r w:rsidRPr="00C74525">
              <w:rPr>
                <w:rFonts w:cs="Arial"/>
                <w:sz w:val="18"/>
                <w:szCs w:val="18"/>
                <w:lang w:val="es-ES" w:eastAsia="es-ES"/>
              </w:rPr>
              <w:t>19</w:t>
            </w:r>
          </w:p>
        </w:tc>
      </w:tr>
      <w:tr w:rsidR="000275A0" w:rsidRPr="00C74525" w:rsidTr="000275A0">
        <w:trPr>
          <w:cantSplit/>
          <w:trHeight w:val="20"/>
          <w:jc w:val="center"/>
        </w:trPr>
        <w:tc>
          <w:tcPr>
            <w:tcW w:w="2410" w:type="dxa"/>
            <w:shd w:val="clear" w:color="auto" w:fill="auto"/>
            <w:vAlign w:val="center"/>
            <w:hideMark/>
          </w:tcPr>
          <w:p w:rsidR="000275A0" w:rsidRPr="00C74525" w:rsidRDefault="000275A0" w:rsidP="00C74525">
            <w:pPr>
              <w:jc w:val="left"/>
              <w:rPr>
                <w:rFonts w:cs="Arial"/>
                <w:sz w:val="18"/>
                <w:szCs w:val="18"/>
                <w:lang w:val="es-ES" w:eastAsia="es-ES"/>
              </w:rPr>
            </w:pPr>
            <w:r w:rsidRPr="00C74525">
              <w:rPr>
                <w:rFonts w:cs="Arial"/>
                <w:sz w:val="18"/>
                <w:szCs w:val="18"/>
                <w:lang w:val="es-ES" w:eastAsia="es-ES"/>
              </w:rPr>
              <w:t>Proceso</w:t>
            </w:r>
          </w:p>
        </w:tc>
        <w:tc>
          <w:tcPr>
            <w:tcW w:w="1475" w:type="dxa"/>
            <w:vAlign w:val="center"/>
          </w:tcPr>
          <w:p w:rsidR="000275A0" w:rsidRPr="00C74525" w:rsidRDefault="000275A0" w:rsidP="00C74525">
            <w:pPr>
              <w:jc w:val="center"/>
              <w:rPr>
                <w:rFonts w:cs="Arial"/>
                <w:sz w:val="18"/>
                <w:szCs w:val="18"/>
                <w:lang w:val="es-ES" w:eastAsia="es-ES"/>
              </w:rPr>
            </w:pPr>
            <w:r w:rsidRPr="00C74525">
              <w:rPr>
                <w:rFonts w:cs="Arial"/>
                <w:sz w:val="18"/>
                <w:szCs w:val="18"/>
                <w:lang w:val="es-ES" w:eastAsia="es-ES"/>
              </w:rPr>
              <w:t>2</w:t>
            </w:r>
          </w:p>
        </w:tc>
      </w:tr>
      <w:tr w:rsidR="00FE41BC" w:rsidRPr="00C74525" w:rsidTr="000275A0">
        <w:trPr>
          <w:cantSplit/>
          <w:trHeight w:val="20"/>
          <w:jc w:val="center"/>
        </w:trPr>
        <w:tc>
          <w:tcPr>
            <w:tcW w:w="2410" w:type="dxa"/>
            <w:shd w:val="clear" w:color="auto" w:fill="auto"/>
            <w:vAlign w:val="center"/>
            <w:hideMark/>
          </w:tcPr>
          <w:p w:rsidR="00FE41BC" w:rsidRPr="00C74525" w:rsidRDefault="000275A0" w:rsidP="00C74525">
            <w:pPr>
              <w:jc w:val="left"/>
              <w:rPr>
                <w:rFonts w:cs="Arial"/>
                <w:sz w:val="18"/>
                <w:szCs w:val="18"/>
                <w:lang w:val="es-ES" w:eastAsia="es-ES"/>
              </w:rPr>
            </w:pPr>
            <w:r w:rsidRPr="00C74525">
              <w:rPr>
                <w:rFonts w:cs="Arial"/>
                <w:sz w:val="18"/>
                <w:szCs w:val="18"/>
                <w:lang w:val="es-ES" w:eastAsia="es-ES"/>
              </w:rPr>
              <w:t>Producto</w:t>
            </w:r>
          </w:p>
        </w:tc>
        <w:tc>
          <w:tcPr>
            <w:tcW w:w="1475" w:type="dxa"/>
            <w:vAlign w:val="center"/>
          </w:tcPr>
          <w:p w:rsidR="00FE41BC" w:rsidRPr="00C74525" w:rsidRDefault="000275A0" w:rsidP="00C74525">
            <w:pPr>
              <w:jc w:val="center"/>
              <w:rPr>
                <w:rFonts w:cs="Arial"/>
                <w:sz w:val="18"/>
                <w:szCs w:val="18"/>
                <w:lang w:val="es-ES" w:eastAsia="es-ES"/>
              </w:rPr>
            </w:pPr>
            <w:r w:rsidRPr="00C74525">
              <w:rPr>
                <w:rFonts w:cs="Arial"/>
                <w:sz w:val="18"/>
                <w:szCs w:val="18"/>
                <w:lang w:val="es-ES" w:eastAsia="es-ES"/>
              </w:rPr>
              <w:t>1</w:t>
            </w:r>
          </w:p>
        </w:tc>
      </w:tr>
      <w:tr w:rsidR="00FE41BC" w:rsidRPr="00C74525" w:rsidTr="000275A0">
        <w:trPr>
          <w:cantSplit/>
          <w:trHeight w:val="20"/>
          <w:jc w:val="center"/>
        </w:trPr>
        <w:tc>
          <w:tcPr>
            <w:tcW w:w="2410" w:type="dxa"/>
            <w:shd w:val="clear" w:color="auto" w:fill="BFBFBF"/>
            <w:noWrap/>
            <w:vAlign w:val="center"/>
            <w:hideMark/>
          </w:tcPr>
          <w:p w:rsidR="00FE41BC" w:rsidRPr="00C74525" w:rsidRDefault="00FE41BC" w:rsidP="00C74525">
            <w:pPr>
              <w:jc w:val="left"/>
              <w:rPr>
                <w:rFonts w:cs="Arial"/>
                <w:b/>
                <w:sz w:val="18"/>
                <w:szCs w:val="18"/>
                <w:lang w:val="es-ES" w:eastAsia="es-ES"/>
              </w:rPr>
            </w:pPr>
            <w:r w:rsidRPr="00C74525">
              <w:rPr>
                <w:rFonts w:cs="Arial"/>
                <w:b/>
                <w:sz w:val="18"/>
                <w:szCs w:val="18"/>
                <w:lang w:val="es-ES" w:eastAsia="es-ES"/>
              </w:rPr>
              <w:t>Total</w:t>
            </w:r>
          </w:p>
        </w:tc>
        <w:tc>
          <w:tcPr>
            <w:tcW w:w="1475" w:type="dxa"/>
            <w:shd w:val="clear" w:color="auto" w:fill="BFBFBF"/>
            <w:vAlign w:val="bottom"/>
          </w:tcPr>
          <w:p w:rsidR="00FE41BC" w:rsidRPr="00C74525" w:rsidRDefault="000275A0" w:rsidP="00C74525">
            <w:pPr>
              <w:jc w:val="center"/>
              <w:rPr>
                <w:rFonts w:cs="Arial"/>
                <w:b/>
                <w:sz w:val="18"/>
                <w:szCs w:val="18"/>
                <w:lang w:val="es-ES" w:eastAsia="es-ES"/>
              </w:rPr>
            </w:pPr>
            <w:r w:rsidRPr="00C74525">
              <w:rPr>
                <w:rFonts w:cs="Arial"/>
                <w:b/>
                <w:sz w:val="18"/>
                <w:szCs w:val="18"/>
                <w:lang w:val="es-ES" w:eastAsia="es-ES"/>
              </w:rPr>
              <w:t>189</w:t>
            </w:r>
          </w:p>
        </w:tc>
      </w:tr>
    </w:tbl>
    <w:p w:rsidR="000627A8" w:rsidRPr="00C74525" w:rsidRDefault="000627A8" w:rsidP="00C74525">
      <w:pPr>
        <w:jc w:val="center"/>
        <w:rPr>
          <w:rFonts w:cs="Arial"/>
          <w:sz w:val="18"/>
          <w:szCs w:val="18"/>
        </w:rPr>
      </w:pPr>
      <w:r w:rsidRPr="00C74525">
        <w:rPr>
          <w:rFonts w:cs="Arial"/>
          <w:sz w:val="18"/>
          <w:szCs w:val="18"/>
        </w:rPr>
        <w:t>Fuente: Reporte “Consulta indicadores activos” generado desde la herramienta SIIP.</w:t>
      </w:r>
    </w:p>
    <w:p w:rsidR="00FE41BC" w:rsidRPr="00C74525" w:rsidRDefault="00FE41BC" w:rsidP="00C74525">
      <w:pPr>
        <w:rPr>
          <w:rFonts w:cs="Arial"/>
          <w:sz w:val="22"/>
          <w:szCs w:val="22"/>
        </w:rPr>
      </w:pPr>
    </w:p>
    <w:p w:rsidR="00175D32" w:rsidRPr="00C74525" w:rsidRDefault="008E79A9" w:rsidP="00C74525">
      <w:pPr>
        <w:rPr>
          <w:rFonts w:cs="Arial"/>
          <w:sz w:val="22"/>
          <w:szCs w:val="22"/>
        </w:rPr>
      </w:pPr>
      <w:r w:rsidRPr="00C74525">
        <w:rPr>
          <w:rFonts w:cs="Arial"/>
          <w:sz w:val="22"/>
          <w:szCs w:val="22"/>
        </w:rPr>
        <w:t>A junio 30 de 2019</w:t>
      </w:r>
      <w:r w:rsidR="00175D32" w:rsidRPr="00C74525">
        <w:rPr>
          <w:rFonts w:cs="Arial"/>
          <w:sz w:val="22"/>
          <w:szCs w:val="22"/>
        </w:rPr>
        <w:t xml:space="preserve"> solo </w:t>
      </w:r>
      <w:r w:rsidR="003835C7" w:rsidRPr="00C74525">
        <w:rPr>
          <w:rFonts w:cs="Arial"/>
          <w:sz w:val="22"/>
          <w:szCs w:val="22"/>
        </w:rPr>
        <w:t>1</w:t>
      </w:r>
      <w:r w:rsidR="00175D32" w:rsidRPr="00C74525">
        <w:rPr>
          <w:rFonts w:cs="Arial"/>
          <w:sz w:val="22"/>
          <w:szCs w:val="22"/>
        </w:rPr>
        <w:t xml:space="preserve"> de ellos present</w:t>
      </w:r>
      <w:r w:rsidR="00D921BF">
        <w:rPr>
          <w:rFonts w:cs="Arial"/>
          <w:sz w:val="22"/>
          <w:szCs w:val="22"/>
        </w:rPr>
        <w:t>ó</w:t>
      </w:r>
      <w:r w:rsidR="00175D32" w:rsidRPr="00C74525">
        <w:rPr>
          <w:rFonts w:cs="Arial"/>
          <w:sz w:val="22"/>
          <w:szCs w:val="22"/>
        </w:rPr>
        <w:t xml:space="preserve"> algún tipo de retraso en la ejecución.</w:t>
      </w:r>
    </w:p>
    <w:p w:rsidR="00175D32" w:rsidRPr="00C74525" w:rsidRDefault="00175D32" w:rsidP="00C74525">
      <w:pPr>
        <w:rPr>
          <w:rFonts w:cs="Arial"/>
          <w:sz w:val="22"/>
          <w:szCs w:val="22"/>
        </w:rPr>
      </w:pPr>
    </w:p>
    <w:p w:rsidR="00E8711A" w:rsidRPr="00C74525" w:rsidRDefault="00E8711A" w:rsidP="00C74525">
      <w:pPr>
        <w:rPr>
          <w:rFonts w:cs="Arial"/>
          <w:sz w:val="22"/>
          <w:szCs w:val="22"/>
        </w:rPr>
      </w:pPr>
      <w:r w:rsidRPr="00C74525">
        <w:rPr>
          <w:rFonts w:cs="Arial"/>
          <w:sz w:val="22"/>
          <w:szCs w:val="22"/>
        </w:rPr>
        <w:t>Por otro lado, es de resaltar la dinámica de ajuste a los indicadores</w:t>
      </w:r>
      <w:r w:rsidR="00BE1446">
        <w:rPr>
          <w:rFonts w:cs="Arial"/>
          <w:sz w:val="22"/>
          <w:szCs w:val="22"/>
        </w:rPr>
        <w:t>, la cual</w:t>
      </w:r>
      <w:r w:rsidRPr="00C74525">
        <w:rPr>
          <w:rFonts w:cs="Arial"/>
          <w:sz w:val="22"/>
          <w:szCs w:val="22"/>
        </w:rPr>
        <w:t xml:space="preserve"> ha tenido el siguiente comportamiento:</w:t>
      </w:r>
    </w:p>
    <w:p w:rsidR="00E8711A" w:rsidRPr="00C74525" w:rsidRDefault="00E8711A" w:rsidP="00C74525">
      <w:pPr>
        <w:rPr>
          <w:rFonts w:cs="Arial"/>
          <w:sz w:val="22"/>
          <w:szCs w:val="22"/>
        </w:rPr>
      </w:pPr>
    </w:p>
    <w:p w:rsidR="00E8711A" w:rsidRPr="00C74525" w:rsidRDefault="00E8711A" w:rsidP="00C74525">
      <w:pPr>
        <w:jc w:val="center"/>
        <w:rPr>
          <w:rFonts w:cs="Arial"/>
          <w:sz w:val="18"/>
          <w:szCs w:val="18"/>
        </w:rPr>
      </w:pPr>
      <w:r w:rsidRPr="00C74525">
        <w:rPr>
          <w:rFonts w:cs="Arial"/>
          <w:sz w:val="18"/>
          <w:szCs w:val="18"/>
        </w:rPr>
        <w:t xml:space="preserve">Tabla </w:t>
      </w:r>
      <w:r w:rsidR="0092077B" w:rsidRPr="00C74525">
        <w:rPr>
          <w:rFonts w:cs="Arial"/>
          <w:sz w:val="18"/>
          <w:szCs w:val="18"/>
        </w:rPr>
        <w:t>5</w:t>
      </w:r>
      <w:r w:rsidR="00E1330F" w:rsidRPr="00C74525">
        <w:rPr>
          <w:rFonts w:cs="Arial"/>
          <w:sz w:val="18"/>
          <w:szCs w:val="18"/>
        </w:rPr>
        <w:t>: versiones en las que se encuentran los indicadores de la entidad.</w:t>
      </w:r>
    </w:p>
    <w:tbl>
      <w:tblPr>
        <w:tblW w:w="5530" w:type="dxa"/>
        <w:jc w:val="center"/>
        <w:tblCellMar>
          <w:left w:w="70" w:type="dxa"/>
          <w:right w:w="70" w:type="dxa"/>
        </w:tblCellMar>
        <w:tblLook w:val="04A0" w:firstRow="1" w:lastRow="0" w:firstColumn="1" w:lastColumn="0" w:noHBand="0" w:noVBand="1"/>
      </w:tblPr>
      <w:tblGrid>
        <w:gridCol w:w="1234"/>
        <w:gridCol w:w="341"/>
        <w:gridCol w:w="341"/>
        <w:gridCol w:w="341"/>
        <w:gridCol w:w="341"/>
        <w:gridCol w:w="341"/>
        <w:gridCol w:w="341"/>
        <w:gridCol w:w="283"/>
        <w:gridCol w:w="283"/>
        <w:gridCol w:w="283"/>
        <w:gridCol w:w="341"/>
        <w:gridCol w:w="341"/>
        <w:gridCol w:w="719"/>
      </w:tblGrid>
      <w:tr w:rsidR="003835C7" w:rsidRPr="00C74525" w:rsidTr="00EC26C3">
        <w:trPr>
          <w:trHeight w:val="283"/>
          <w:jc w:val="center"/>
        </w:trPr>
        <w:tc>
          <w:tcPr>
            <w:tcW w:w="12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3835C7" w:rsidRPr="00C74525" w:rsidRDefault="003835C7" w:rsidP="00C74525">
            <w:pPr>
              <w:jc w:val="left"/>
              <w:rPr>
                <w:rFonts w:cs="Arial"/>
                <w:b/>
                <w:bCs/>
                <w:sz w:val="18"/>
                <w:szCs w:val="18"/>
                <w:lang w:val="es-ES" w:eastAsia="es-ES"/>
              </w:rPr>
            </w:pPr>
            <w:r w:rsidRPr="00C74525">
              <w:rPr>
                <w:rFonts w:cs="Arial"/>
                <w:b/>
                <w:bCs/>
                <w:sz w:val="18"/>
                <w:szCs w:val="18"/>
                <w:lang w:val="es-ES" w:eastAsia="es-ES"/>
              </w:rPr>
              <w:t>Versión</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eastAsia="es-ES"/>
              </w:rPr>
              <w:t>1</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eastAsia="es-ES"/>
              </w:rPr>
              <w:t>2</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eastAsia="es-ES"/>
              </w:rPr>
              <w:t>3</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4</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5</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6</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7</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8</w:t>
            </w:r>
          </w:p>
        </w:tc>
        <w:tc>
          <w:tcPr>
            <w:tcW w:w="283" w:type="dxa"/>
            <w:tcBorders>
              <w:top w:val="single" w:sz="4" w:space="0" w:color="auto"/>
              <w:left w:val="nil"/>
              <w:bottom w:val="single" w:sz="4" w:space="0" w:color="auto"/>
              <w:right w:val="single" w:sz="2"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9</w:t>
            </w:r>
          </w:p>
        </w:tc>
        <w:tc>
          <w:tcPr>
            <w:tcW w:w="341" w:type="dxa"/>
            <w:tcBorders>
              <w:top w:val="single" w:sz="2" w:space="0" w:color="auto"/>
              <w:left w:val="single" w:sz="2" w:space="0" w:color="auto"/>
              <w:bottom w:val="single" w:sz="2" w:space="0" w:color="auto"/>
              <w:right w:val="single" w:sz="2" w:space="0" w:color="auto"/>
            </w:tcBorders>
            <w:vAlign w:val="center"/>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10</w:t>
            </w:r>
          </w:p>
        </w:tc>
        <w:tc>
          <w:tcPr>
            <w:tcW w:w="341" w:type="dxa"/>
            <w:tcBorders>
              <w:top w:val="single" w:sz="4" w:space="0" w:color="auto"/>
              <w:left w:val="single" w:sz="2" w:space="0" w:color="auto"/>
              <w:bottom w:val="single" w:sz="4" w:space="0" w:color="auto"/>
              <w:right w:val="single" w:sz="4" w:space="0" w:color="auto"/>
            </w:tcBorders>
            <w:shd w:val="clear" w:color="auto" w:fill="auto"/>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11</w:t>
            </w:r>
          </w:p>
        </w:tc>
        <w:tc>
          <w:tcPr>
            <w:tcW w:w="719" w:type="dxa"/>
            <w:tcBorders>
              <w:top w:val="single" w:sz="4" w:space="0" w:color="auto"/>
              <w:left w:val="nil"/>
              <w:bottom w:val="single" w:sz="4" w:space="0" w:color="auto"/>
              <w:right w:val="single" w:sz="4" w:space="0" w:color="auto"/>
            </w:tcBorders>
            <w:shd w:val="clear" w:color="000000" w:fill="BFBFBF"/>
            <w:noWrap/>
            <w:vAlign w:val="center"/>
            <w:hideMark/>
          </w:tcPr>
          <w:p w:rsidR="003835C7" w:rsidRPr="00C74525" w:rsidRDefault="003835C7" w:rsidP="00C74525">
            <w:pPr>
              <w:jc w:val="center"/>
              <w:rPr>
                <w:rFonts w:cs="Arial"/>
                <w:b/>
                <w:bCs/>
                <w:sz w:val="18"/>
                <w:szCs w:val="18"/>
                <w:lang w:val="es-ES" w:eastAsia="es-ES"/>
              </w:rPr>
            </w:pPr>
            <w:r w:rsidRPr="00C74525">
              <w:rPr>
                <w:rFonts w:cs="Arial"/>
                <w:b/>
                <w:bCs/>
                <w:sz w:val="18"/>
                <w:szCs w:val="18"/>
                <w:lang w:val="es-ES" w:eastAsia="es-ES"/>
              </w:rPr>
              <w:t>Total</w:t>
            </w:r>
          </w:p>
        </w:tc>
      </w:tr>
      <w:tr w:rsidR="003835C7" w:rsidRPr="00C74525" w:rsidTr="00EC26C3">
        <w:trPr>
          <w:cantSplit/>
          <w:trHeight w:val="283"/>
          <w:jc w:val="center"/>
        </w:trPr>
        <w:tc>
          <w:tcPr>
            <w:tcW w:w="1234" w:type="dxa"/>
            <w:tcBorders>
              <w:top w:val="nil"/>
              <w:left w:val="single" w:sz="4" w:space="0" w:color="auto"/>
              <w:bottom w:val="single" w:sz="4" w:space="0" w:color="auto"/>
              <w:right w:val="single" w:sz="4" w:space="0" w:color="auto"/>
            </w:tcBorders>
            <w:shd w:val="clear" w:color="000000" w:fill="BFBFBF"/>
            <w:vAlign w:val="center"/>
            <w:hideMark/>
          </w:tcPr>
          <w:p w:rsidR="003835C7" w:rsidRPr="00C74525" w:rsidRDefault="003835C7" w:rsidP="00C74525">
            <w:pPr>
              <w:jc w:val="left"/>
              <w:rPr>
                <w:rFonts w:cs="Arial"/>
                <w:b/>
                <w:bCs/>
                <w:sz w:val="18"/>
                <w:szCs w:val="18"/>
                <w:lang w:val="es-ES" w:eastAsia="es-ES"/>
              </w:rPr>
            </w:pPr>
            <w:r w:rsidRPr="00C74525">
              <w:rPr>
                <w:rFonts w:cs="Arial"/>
                <w:b/>
                <w:bCs/>
                <w:sz w:val="18"/>
                <w:szCs w:val="18"/>
                <w:lang w:val="es-ES" w:eastAsia="es-ES"/>
              </w:rPr>
              <w:t>Indicadores</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50</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32</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23</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22</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18</w:t>
            </w:r>
          </w:p>
        </w:tc>
        <w:tc>
          <w:tcPr>
            <w:tcW w:w="341"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12</w:t>
            </w:r>
          </w:p>
        </w:tc>
        <w:tc>
          <w:tcPr>
            <w:tcW w:w="283"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9</w:t>
            </w:r>
          </w:p>
        </w:tc>
        <w:tc>
          <w:tcPr>
            <w:tcW w:w="283" w:type="dxa"/>
            <w:tcBorders>
              <w:top w:val="nil"/>
              <w:left w:val="nil"/>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4</w:t>
            </w:r>
          </w:p>
        </w:tc>
        <w:tc>
          <w:tcPr>
            <w:tcW w:w="283" w:type="dxa"/>
            <w:tcBorders>
              <w:top w:val="nil"/>
              <w:left w:val="nil"/>
              <w:bottom w:val="single" w:sz="4" w:space="0" w:color="auto"/>
              <w:right w:val="single" w:sz="2"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2</w:t>
            </w:r>
          </w:p>
        </w:tc>
        <w:tc>
          <w:tcPr>
            <w:tcW w:w="341" w:type="dxa"/>
            <w:tcBorders>
              <w:top w:val="single" w:sz="2" w:space="0" w:color="auto"/>
              <w:left w:val="single" w:sz="2" w:space="0" w:color="auto"/>
              <w:bottom w:val="single" w:sz="2" w:space="0" w:color="auto"/>
              <w:right w:val="single" w:sz="2" w:space="0" w:color="auto"/>
            </w:tcBorders>
            <w:vAlign w:val="center"/>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11</w:t>
            </w:r>
          </w:p>
        </w:tc>
        <w:tc>
          <w:tcPr>
            <w:tcW w:w="341" w:type="dxa"/>
            <w:tcBorders>
              <w:top w:val="nil"/>
              <w:left w:val="single" w:sz="2" w:space="0" w:color="auto"/>
              <w:bottom w:val="single" w:sz="4" w:space="0" w:color="auto"/>
              <w:right w:val="single" w:sz="4" w:space="0" w:color="auto"/>
            </w:tcBorders>
            <w:shd w:val="clear" w:color="auto" w:fill="auto"/>
            <w:noWrap/>
            <w:vAlign w:val="center"/>
            <w:hideMark/>
          </w:tcPr>
          <w:p w:rsidR="003835C7" w:rsidRPr="00C74525" w:rsidRDefault="003835C7" w:rsidP="00C74525">
            <w:pPr>
              <w:jc w:val="center"/>
              <w:rPr>
                <w:rFonts w:cs="Arial"/>
                <w:sz w:val="18"/>
                <w:szCs w:val="18"/>
                <w:lang w:val="es-ES" w:eastAsia="es-ES"/>
              </w:rPr>
            </w:pPr>
            <w:r w:rsidRPr="00C74525">
              <w:rPr>
                <w:rFonts w:cs="Arial"/>
                <w:sz w:val="18"/>
                <w:szCs w:val="18"/>
                <w:lang w:val="es-ES" w:eastAsia="es-ES"/>
              </w:rPr>
              <w:t>6</w:t>
            </w:r>
          </w:p>
        </w:tc>
        <w:tc>
          <w:tcPr>
            <w:tcW w:w="719" w:type="dxa"/>
            <w:tcBorders>
              <w:top w:val="nil"/>
              <w:left w:val="nil"/>
              <w:bottom w:val="single" w:sz="4" w:space="0" w:color="auto"/>
              <w:right w:val="single" w:sz="4" w:space="0" w:color="auto"/>
            </w:tcBorders>
            <w:shd w:val="clear" w:color="000000" w:fill="BFBFBF"/>
            <w:vAlign w:val="center"/>
            <w:hideMark/>
          </w:tcPr>
          <w:p w:rsidR="003835C7" w:rsidRPr="00C74525" w:rsidRDefault="00EC26C3" w:rsidP="00C74525">
            <w:pPr>
              <w:jc w:val="center"/>
              <w:rPr>
                <w:rFonts w:cs="Arial"/>
                <w:b/>
                <w:bCs/>
                <w:sz w:val="18"/>
                <w:szCs w:val="18"/>
                <w:lang w:val="es-ES" w:eastAsia="es-ES"/>
              </w:rPr>
            </w:pPr>
            <w:r w:rsidRPr="00C74525">
              <w:rPr>
                <w:rFonts w:cs="Arial"/>
                <w:b/>
                <w:bCs/>
                <w:sz w:val="18"/>
                <w:szCs w:val="18"/>
                <w:lang w:val="es-ES" w:eastAsia="es-ES"/>
              </w:rPr>
              <w:t>189</w:t>
            </w:r>
          </w:p>
        </w:tc>
      </w:tr>
    </w:tbl>
    <w:p w:rsidR="00E8711A" w:rsidRPr="00C74525" w:rsidRDefault="00E8711A" w:rsidP="00C74525">
      <w:pPr>
        <w:jc w:val="center"/>
        <w:rPr>
          <w:rFonts w:cs="Arial"/>
          <w:sz w:val="18"/>
          <w:szCs w:val="18"/>
        </w:rPr>
      </w:pPr>
      <w:r w:rsidRPr="00C74525">
        <w:rPr>
          <w:rFonts w:cs="Arial"/>
          <w:sz w:val="18"/>
          <w:szCs w:val="18"/>
        </w:rPr>
        <w:t>Fuente: Reporte “Consulta indicadores activos” generado desde la herramienta SIIP.</w:t>
      </w:r>
    </w:p>
    <w:p w:rsidR="00E8711A" w:rsidRPr="00C74525" w:rsidRDefault="00E8711A" w:rsidP="00C74525">
      <w:pPr>
        <w:rPr>
          <w:rFonts w:cs="Arial"/>
          <w:sz w:val="22"/>
          <w:szCs w:val="22"/>
        </w:rPr>
      </w:pPr>
    </w:p>
    <w:p w:rsidR="00FE41BC" w:rsidRPr="00C74525" w:rsidRDefault="00FE41BC" w:rsidP="00C74525">
      <w:pPr>
        <w:rPr>
          <w:rFonts w:cs="Arial"/>
          <w:sz w:val="22"/>
          <w:szCs w:val="22"/>
        </w:rPr>
      </w:pPr>
      <w:r w:rsidRPr="00C74525">
        <w:rPr>
          <w:rFonts w:cs="Arial"/>
          <w:sz w:val="22"/>
          <w:szCs w:val="22"/>
        </w:rPr>
        <w:t xml:space="preserve">La tabla </w:t>
      </w:r>
      <w:r w:rsidR="00BC4401" w:rsidRPr="00C74525">
        <w:rPr>
          <w:rFonts w:cs="Arial"/>
          <w:sz w:val="22"/>
          <w:szCs w:val="22"/>
        </w:rPr>
        <w:t>2</w:t>
      </w:r>
      <w:r w:rsidRPr="00C74525">
        <w:rPr>
          <w:rFonts w:cs="Arial"/>
          <w:sz w:val="22"/>
          <w:szCs w:val="22"/>
        </w:rPr>
        <w:t xml:space="preserve"> muestra que e</w:t>
      </w:r>
      <w:r w:rsidR="002E3DAA" w:rsidRPr="00C74525">
        <w:rPr>
          <w:rFonts w:cs="Arial"/>
          <w:sz w:val="22"/>
          <w:szCs w:val="22"/>
        </w:rPr>
        <w:t xml:space="preserve">l proceso de coordinación de las políticas públicas administra el 28% de los indicadores </w:t>
      </w:r>
      <w:r w:rsidR="009E5D6E" w:rsidRPr="00C74525">
        <w:rPr>
          <w:rFonts w:cs="Arial"/>
          <w:sz w:val="22"/>
          <w:szCs w:val="22"/>
        </w:rPr>
        <w:t xml:space="preserve">activos </w:t>
      </w:r>
      <w:r w:rsidR="002E3DAA" w:rsidRPr="00C74525">
        <w:rPr>
          <w:rFonts w:cs="Arial"/>
          <w:sz w:val="22"/>
          <w:szCs w:val="22"/>
        </w:rPr>
        <w:t xml:space="preserve">de la entidad. </w:t>
      </w:r>
      <w:r w:rsidRPr="00C74525">
        <w:rPr>
          <w:rFonts w:cs="Arial"/>
          <w:sz w:val="22"/>
          <w:szCs w:val="22"/>
        </w:rPr>
        <w:t>Además de ser el proceso con el mayor número de indicadores, también tiene el mayor número de áreas que participan en su gestión, lo cual se ilustra en la siguiente tabla:</w:t>
      </w:r>
    </w:p>
    <w:p w:rsidR="00E1330F" w:rsidRPr="00C74525" w:rsidRDefault="00E1330F" w:rsidP="00C74525">
      <w:pPr>
        <w:rPr>
          <w:rFonts w:cs="Arial"/>
          <w:sz w:val="22"/>
          <w:szCs w:val="22"/>
        </w:rPr>
      </w:pPr>
    </w:p>
    <w:p w:rsidR="00175D32" w:rsidRPr="00C74525" w:rsidRDefault="00175D32" w:rsidP="00C74525">
      <w:pPr>
        <w:jc w:val="center"/>
        <w:rPr>
          <w:rFonts w:cs="Arial"/>
          <w:sz w:val="18"/>
          <w:szCs w:val="18"/>
        </w:rPr>
      </w:pPr>
      <w:r w:rsidRPr="00C74525">
        <w:rPr>
          <w:rFonts w:cs="Arial"/>
          <w:sz w:val="18"/>
          <w:szCs w:val="18"/>
        </w:rPr>
        <w:t xml:space="preserve">Tabla </w:t>
      </w:r>
      <w:r w:rsidR="0092077B" w:rsidRPr="00C74525">
        <w:rPr>
          <w:rFonts w:cs="Arial"/>
          <w:sz w:val="18"/>
          <w:szCs w:val="18"/>
        </w:rPr>
        <w:t>6</w:t>
      </w:r>
      <w:r w:rsidR="00E1330F" w:rsidRPr="00C74525">
        <w:rPr>
          <w:rFonts w:cs="Arial"/>
          <w:sz w:val="18"/>
          <w:szCs w:val="18"/>
        </w:rPr>
        <w:t>: Áreas involucradas en la gestión de indicadores del proceso de coordinación de las políticas públicas.</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0"/>
        <w:gridCol w:w="1475"/>
      </w:tblGrid>
      <w:tr w:rsidR="002E3DAA" w:rsidRPr="00C74525" w:rsidTr="00057953">
        <w:trPr>
          <w:cantSplit/>
          <w:trHeight w:val="20"/>
          <w:tblHeader/>
          <w:jc w:val="center"/>
        </w:trPr>
        <w:tc>
          <w:tcPr>
            <w:tcW w:w="4190" w:type="dxa"/>
            <w:shd w:val="clear" w:color="auto" w:fill="BFBFBF"/>
            <w:vAlign w:val="center"/>
            <w:hideMark/>
          </w:tcPr>
          <w:p w:rsidR="002E3DAA" w:rsidRPr="00C74525" w:rsidRDefault="002E3DAA" w:rsidP="00C74525">
            <w:pPr>
              <w:jc w:val="left"/>
              <w:rPr>
                <w:rFonts w:cs="Arial"/>
                <w:b/>
                <w:sz w:val="18"/>
                <w:szCs w:val="18"/>
                <w:lang w:val="es-ES" w:eastAsia="es-ES"/>
              </w:rPr>
            </w:pPr>
            <w:r w:rsidRPr="00C74525">
              <w:rPr>
                <w:rFonts w:cs="Arial"/>
                <w:b/>
                <w:sz w:val="18"/>
                <w:szCs w:val="18"/>
                <w:lang w:val="es-ES" w:eastAsia="es-ES"/>
              </w:rPr>
              <w:t>Proceso</w:t>
            </w:r>
          </w:p>
        </w:tc>
        <w:tc>
          <w:tcPr>
            <w:tcW w:w="1475" w:type="dxa"/>
            <w:shd w:val="clear" w:color="auto" w:fill="BFBFBF"/>
            <w:vAlign w:val="center"/>
          </w:tcPr>
          <w:p w:rsidR="002E3DAA" w:rsidRPr="00C74525" w:rsidRDefault="002E3DAA" w:rsidP="00C74525">
            <w:pPr>
              <w:jc w:val="center"/>
              <w:rPr>
                <w:rFonts w:cs="Arial"/>
                <w:b/>
                <w:sz w:val="18"/>
                <w:szCs w:val="18"/>
                <w:lang w:val="es-ES" w:eastAsia="es-ES"/>
              </w:rPr>
            </w:pPr>
            <w:r w:rsidRPr="00C74525">
              <w:rPr>
                <w:rFonts w:cs="Arial"/>
                <w:b/>
                <w:sz w:val="18"/>
                <w:szCs w:val="18"/>
                <w:lang w:val="es-ES" w:eastAsia="es-ES"/>
              </w:rPr>
              <w:t>Indicadores</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rPr>
            </w:pPr>
            <w:r w:rsidRPr="00C74525">
              <w:rPr>
                <w:rFonts w:cs="Arial"/>
                <w:sz w:val="18"/>
                <w:szCs w:val="18"/>
              </w:rPr>
              <w:t>CONFIS</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8</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rPr>
            </w:pPr>
            <w:r w:rsidRPr="00C74525">
              <w:rPr>
                <w:rFonts w:cs="Arial"/>
                <w:sz w:val="18"/>
                <w:szCs w:val="18"/>
              </w:rPr>
              <w:t>Diversidad Sexual</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2</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rPr>
            </w:pPr>
            <w:r w:rsidRPr="00C74525">
              <w:rPr>
                <w:rFonts w:cs="Arial"/>
                <w:sz w:val="18"/>
                <w:szCs w:val="18"/>
              </w:rPr>
              <w:t>Economía Urbana</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2</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Equidad y Políticas Poblacionales</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1</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Integración Regional, Nacional e Internacional</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3</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Operaciones Estratégicas</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10</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Planeación de la inversión</w:t>
            </w:r>
          </w:p>
        </w:tc>
        <w:tc>
          <w:tcPr>
            <w:tcW w:w="1475" w:type="dxa"/>
            <w:tcBorders>
              <w:bottom w:val="single" w:sz="12" w:space="0" w:color="auto"/>
            </w:tcBorders>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2</w:t>
            </w:r>
          </w:p>
        </w:tc>
      </w:tr>
      <w:tr w:rsidR="002E3DAA" w:rsidRPr="00C74525" w:rsidTr="00057953">
        <w:trPr>
          <w:cantSplit/>
          <w:trHeight w:val="20"/>
          <w:jc w:val="center"/>
        </w:trPr>
        <w:tc>
          <w:tcPr>
            <w:tcW w:w="4190" w:type="dxa"/>
            <w:tcBorders>
              <w:right w:val="single" w:sz="12" w:space="0" w:color="auto"/>
            </w:tcBorders>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Planeación Socioeconómica</w:t>
            </w:r>
          </w:p>
        </w:tc>
        <w:tc>
          <w:tcPr>
            <w:tcW w:w="1475" w:type="dxa"/>
            <w:tcBorders>
              <w:top w:val="single" w:sz="12" w:space="0" w:color="auto"/>
              <w:left w:val="single" w:sz="12" w:space="0" w:color="auto"/>
              <w:bottom w:val="single" w:sz="12" w:space="0" w:color="auto"/>
              <w:right w:val="single" w:sz="12" w:space="0" w:color="auto"/>
            </w:tcBorders>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16</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Planes de Desarrollo y Fortalecimiento Local</w:t>
            </w:r>
          </w:p>
        </w:tc>
        <w:tc>
          <w:tcPr>
            <w:tcW w:w="1475" w:type="dxa"/>
            <w:tcBorders>
              <w:top w:val="single" w:sz="12" w:space="0" w:color="auto"/>
            </w:tcBorders>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3</w:t>
            </w:r>
          </w:p>
        </w:tc>
      </w:tr>
      <w:tr w:rsidR="002E3DAA" w:rsidRPr="00C74525" w:rsidTr="00057953">
        <w:trPr>
          <w:cantSplit/>
          <w:trHeight w:val="20"/>
          <w:jc w:val="center"/>
        </w:trPr>
        <w:tc>
          <w:tcPr>
            <w:tcW w:w="4190" w:type="dxa"/>
            <w:shd w:val="clear" w:color="auto" w:fill="auto"/>
            <w:vAlign w:val="center"/>
            <w:hideMark/>
          </w:tcPr>
          <w:p w:rsidR="002E3DAA" w:rsidRPr="00C74525" w:rsidRDefault="002E3DAA" w:rsidP="00C74525">
            <w:pPr>
              <w:jc w:val="left"/>
              <w:rPr>
                <w:rFonts w:cs="Arial"/>
                <w:sz w:val="18"/>
                <w:szCs w:val="18"/>
                <w:lang w:val="es-ES" w:eastAsia="es-ES"/>
              </w:rPr>
            </w:pPr>
            <w:r w:rsidRPr="00C74525">
              <w:rPr>
                <w:rFonts w:cs="Arial"/>
                <w:sz w:val="18"/>
                <w:szCs w:val="18"/>
              </w:rPr>
              <w:t>Programación y Seguimiento a la Inversión</w:t>
            </w:r>
          </w:p>
        </w:tc>
        <w:tc>
          <w:tcPr>
            <w:tcW w:w="1475" w:type="dxa"/>
            <w:vAlign w:val="center"/>
          </w:tcPr>
          <w:p w:rsidR="002E3DAA" w:rsidRPr="00C74525" w:rsidRDefault="00DA1E34" w:rsidP="00C74525">
            <w:pPr>
              <w:jc w:val="center"/>
              <w:rPr>
                <w:rFonts w:cs="Arial"/>
                <w:sz w:val="18"/>
                <w:szCs w:val="18"/>
                <w:lang w:val="es-ES" w:eastAsia="es-ES"/>
              </w:rPr>
            </w:pPr>
            <w:r w:rsidRPr="00C74525">
              <w:rPr>
                <w:rFonts w:cs="Arial"/>
                <w:sz w:val="18"/>
                <w:szCs w:val="18"/>
                <w:lang w:val="es-ES" w:eastAsia="es-ES"/>
              </w:rPr>
              <w:t>6</w:t>
            </w:r>
          </w:p>
        </w:tc>
      </w:tr>
      <w:tr w:rsidR="002E3DAA" w:rsidRPr="00C74525" w:rsidTr="00057953">
        <w:trPr>
          <w:cantSplit/>
          <w:trHeight w:val="20"/>
          <w:jc w:val="center"/>
        </w:trPr>
        <w:tc>
          <w:tcPr>
            <w:tcW w:w="4190" w:type="dxa"/>
            <w:shd w:val="clear" w:color="auto" w:fill="BFBFBF"/>
            <w:noWrap/>
            <w:vAlign w:val="center"/>
            <w:hideMark/>
          </w:tcPr>
          <w:p w:rsidR="002E3DAA" w:rsidRPr="00C74525" w:rsidRDefault="002E3DAA" w:rsidP="00C74525">
            <w:pPr>
              <w:jc w:val="left"/>
              <w:rPr>
                <w:rFonts w:cs="Arial"/>
                <w:b/>
                <w:sz w:val="18"/>
                <w:szCs w:val="18"/>
                <w:lang w:val="es-ES" w:eastAsia="es-ES"/>
              </w:rPr>
            </w:pPr>
            <w:r w:rsidRPr="00C74525">
              <w:rPr>
                <w:rFonts w:cs="Arial"/>
                <w:b/>
                <w:sz w:val="18"/>
                <w:szCs w:val="18"/>
                <w:lang w:val="es-ES" w:eastAsia="es-ES"/>
              </w:rPr>
              <w:t>Total</w:t>
            </w:r>
          </w:p>
        </w:tc>
        <w:tc>
          <w:tcPr>
            <w:tcW w:w="1475" w:type="dxa"/>
            <w:shd w:val="clear" w:color="auto" w:fill="BFBFBF"/>
            <w:vAlign w:val="center"/>
          </w:tcPr>
          <w:p w:rsidR="002E3DAA" w:rsidRPr="00C74525" w:rsidRDefault="00DA1E34" w:rsidP="00C74525">
            <w:pPr>
              <w:jc w:val="center"/>
              <w:rPr>
                <w:rFonts w:cs="Arial"/>
                <w:b/>
                <w:sz w:val="18"/>
                <w:szCs w:val="18"/>
                <w:lang w:val="es-ES" w:eastAsia="es-ES"/>
              </w:rPr>
            </w:pPr>
            <w:r w:rsidRPr="00C74525">
              <w:rPr>
                <w:rFonts w:cs="Arial"/>
                <w:b/>
                <w:sz w:val="18"/>
                <w:szCs w:val="18"/>
                <w:lang w:val="es-ES" w:eastAsia="es-ES"/>
              </w:rPr>
              <w:t>53</w:t>
            </w:r>
          </w:p>
        </w:tc>
      </w:tr>
    </w:tbl>
    <w:p w:rsidR="00175D32" w:rsidRPr="00C74525" w:rsidRDefault="00175D32" w:rsidP="00C74525">
      <w:pPr>
        <w:jc w:val="center"/>
        <w:rPr>
          <w:rFonts w:cs="Arial"/>
          <w:sz w:val="18"/>
          <w:szCs w:val="18"/>
        </w:rPr>
      </w:pPr>
      <w:r w:rsidRPr="00C74525">
        <w:rPr>
          <w:rFonts w:cs="Arial"/>
          <w:sz w:val="18"/>
          <w:szCs w:val="18"/>
        </w:rPr>
        <w:t>Fuente: Reporte “Consulta indicadores activos” generado desde la herramienta SIIP.</w:t>
      </w:r>
    </w:p>
    <w:p w:rsidR="00DA1E34" w:rsidRPr="00C74525" w:rsidRDefault="00DA1E34" w:rsidP="00C74525">
      <w:pPr>
        <w:rPr>
          <w:rFonts w:cs="Arial"/>
          <w:sz w:val="22"/>
          <w:szCs w:val="22"/>
          <w:lang w:val="es-ES"/>
        </w:rPr>
      </w:pPr>
    </w:p>
    <w:p w:rsidR="002E3DAA" w:rsidRPr="00C74525" w:rsidRDefault="00FE41BC" w:rsidP="00C74525">
      <w:pPr>
        <w:rPr>
          <w:rFonts w:cs="Arial"/>
          <w:sz w:val="22"/>
          <w:szCs w:val="22"/>
        </w:rPr>
      </w:pPr>
      <w:r w:rsidRPr="00C74525">
        <w:rPr>
          <w:rFonts w:cs="Arial"/>
          <w:sz w:val="22"/>
          <w:szCs w:val="22"/>
        </w:rPr>
        <w:t xml:space="preserve">Es decir, </w:t>
      </w:r>
      <w:r w:rsidR="00E60340" w:rsidRPr="00C74525">
        <w:rPr>
          <w:rFonts w:cs="Arial"/>
          <w:sz w:val="22"/>
          <w:szCs w:val="22"/>
        </w:rPr>
        <w:t xml:space="preserve">el despacho de </w:t>
      </w:r>
      <w:r w:rsidRPr="00C74525">
        <w:rPr>
          <w:rFonts w:cs="Arial"/>
          <w:sz w:val="22"/>
          <w:szCs w:val="22"/>
        </w:rPr>
        <w:t xml:space="preserve">la Subsecretaría de Planeación Socioeconómica administra el </w:t>
      </w:r>
      <w:r w:rsidR="00DA1E34" w:rsidRPr="00C74525">
        <w:rPr>
          <w:rFonts w:cs="Arial"/>
          <w:sz w:val="22"/>
          <w:szCs w:val="22"/>
        </w:rPr>
        <w:t>8</w:t>
      </w:r>
      <w:r w:rsidRPr="00C74525">
        <w:rPr>
          <w:rFonts w:cs="Arial"/>
          <w:sz w:val="22"/>
          <w:szCs w:val="22"/>
        </w:rPr>
        <w:t>% de los indicadores de la entidad.</w:t>
      </w:r>
    </w:p>
    <w:p w:rsidR="00BC4401" w:rsidRPr="00C74525" w:rsidRDefault="00BC4401" w:rsidP="00C74525">
      <w:pPr>
        <w:rPr>
          <w:rFonts w:cs="Arial"/>
          <w:sz w:val="22"/>
          <w:szCs w:val="22"/>
        </w:rPr>
      </w:pPr>
    </w:p>
    <w:p w:rsidR="00BC4401" w:rsidRPr="00C74525" w:rsidRDefault="00BC4401" w:rsidP="00C74525">
      <w:pPr>
        <w:rPr>
          <w:rFonts w:cs="Arial"/>
          <w:sz w:val="22"/>
          <w:szCs w:val="22"/>
        </w:rPr>
      </w:pPr>
      <w:r w:rsidRPr="00C74525">
        <w:rPr>
          <w:rFonts w:cs="Arial"/>
          <w:sz w:val="22"/>
          <w:szCs w:val="22"/>
        </w:rPr>
        <w:t xml:space="preserve">Finalmente, se destaca que los indicadores </w:t>
      </w:r>
      <w:r w:rsidR="00C4190F" w:rsidRPr="00C74525">
        <w:rPr>
          <w:rFonts w:cs="Arial"/>
          <w:sz w:val="22"/>
          <w:szCs w:val="22"/>
        </w:rPr>
        <w:t xml:space="preserve">de la entidad </w:t>
      </w:r>
      <w:r w:rsidRPr="00C74525">
        <w:rPr>
          <w:rFonts w:cs="Arial"/>
          <w:sz w:val="22"/>
          <w:szCs w:val="22"/>
        </w:rPr>
        <w:t>contienen todas sus variables y son objeto de seguimiento periódico.</w:t>
      </w:r>
    </w:p>
    <w:p w:rsidR="002E3DAA" w:rsidRPr="00C74525" w:rsidRDefault="002E3DAA" w:rsidP="00C74525">
      <w:pPr>
        <w:rPr>
          <w:rFonts w:cs="Arial"/>
          <w:sz w:val="22"/>
          <w:szCs w:val="22"/>
        </w:rPr>
      </w:pPr>
    </w:p>
    <w:p w:rsidR="006F123E" w:rsidRPr="00C74525" w:rsidRDefault="006F123E"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5" w:name="_Toc13141906"/>
      <w:r w:rsidRPr="00C74525">
        <w:rPr>
          <w:rFonts w:ascii="Arial" w:hAnsi="Arial" w:cs="Arial"/>
          <w:color w:val="auto"/>
          <w:sz w:val="22"/>
          <w:szCs w:val="22"/>
        </w:rPr>
        <w:t>Documentos</w:t>
      </w:r>
      <w:bookmarkEnd w:id="5"/>
    </w:p>
    <w:p w:rsidR="006F123E" w:rsidRPr="00C74525" w:rsidRDefault="006F123E" w:rsidP="00C74525">
      <w:pPr>
        <w:rPr>
          <w:rFonts w:cs="Arial"/>
          <w:sz w:val="22"/>
          <w:szCs w:val="22"/>
        </w:rPr>
      </w:pPr>
    </w:p>
    <w:p w:rsidR="00134E0E" w:rsidRPr="00C74525" w:rsidRDefault="00BC4401" w:rsidP="00C74525">
      <w:pPr>
        <w:rPr>
          <w:rFonts w:cs="Arial"/>
          <w:sz w:val="22"/>
          <w:szCs w:val="22"/>
        </w:rPr>
      </w:pPr>
      <w:r w:rsidRPr="00C74525">
        <w:rPr>
          <w:rFonts w:cs="Arial"/>
          <w:sz w:val="22"/>
          <w:szCs w:val="22"/>
        </w:rPr>
        <w:t xml:space="preserve">Los documentos del SIG son procesos, procedimientos, formatos, instructivos y demás. </w:t>
      </w:r>
      <w:r w:rsidR="006F123E" w:rsidRPr="00C74525">
        <w:rPr>
          <w:rFonts w:cs="Arial"/>
          <w:sz w:val="22"/>
          <w:szCs w:val="22"/>
        </w:rPr>
        <w:t xml:space="preserve">Desde 1994 se encuentra evidencia </w:t>
      </w:r>
      <w:r w:rsidRPr="00C74525">
        <w:rPr>
          <w:rFonts w:cs="Arial"/>
          <w:sz w:val="22"/>
          <w:szCs w:val="22"/>
        </w:rPr>
        <w:t xml:space="preserve">de la incorporación, modificación o retiro </w:t>
      </w:r>
      <w:r w:rsidR="006F123E" w:rsidRPr="00C74525">
        <w:rPr>
          <w:rFonts w:cs="Arial"/>
          <w:sz w:val="22"/>
          <w:szCs w:val="22"/>
        </w:rPr>
        <w:t>de la documentación del Sistema de Gestión.</w:t>
      </w:r>
      <w:r w:rsidR="00134E0E" w:rsidRPr="00C74525">
        <w:rPr>
          <w:rFonts w:cs="Arial"/>
          <w:sz w:val="22"/>
          <w:szCs w:val="22"/>
        </w:rPr>
        <w:t xml:space="preserve"> Además, d</w:t>
      </w:r>
      <w:r w:rsidR="006F123E" w:rsidRPr="00C74525">
        <w:rPr>
          <w:rFonts w:cs="Arial"/>
          <w:sz w:val="22"/>
          <w:szCs w:val="22"/>
        </w:rPr>
        <w:t>esde abril de 2013, los documentos están disponibles en el módulo de control de documentos del aplicativo SIPA</w:t>
      </w:r>
      <w:r w:rsidR="00134E0E" w:rsidRPr="00C74525">
        <w:rPr>
          <w:rFonts w:cs="Arial"/>
          <w:sz w:val="22"/>
          <w:szCs w:val="22"/>
        </w:rPr>
        <w:t xml:space="preserve"> y a la fecha están en las siguientes cantidades:</w:t>
      </w:r>
      <w:r w:rsidR="006F123E" w:rsidRPr="00C74525">
        <w:rPr>
          <w:rFonts w:cs="Arial"/>
          <w:sz w:val="22"/>
          <w:szCs w:val="22"/>
        </w:rPr>
        <w:t xml:space="preserve"> </w:t>
      </w:r>
    </w:p>
    <w:p w:rsidR="00AD5C38" w:rsidRPr="00931EBA" w:rsidRDefault="00AD5C38" w:rsidP="00C74525">
      <w:pPr>
        <w:jc w:val="left"/>
        <w:rPr>
          <w:rFonts w:cs="Arial"/>
          <w:sz w:val="22"/>
          <w:szCs w:val="22"/>
        </w:rPr>
      </w:pPr>
    </w:p>
    <w:p w:rsidR="00134E0E" w:rsidRPr="00C74525" w:rsidRDefault="00134E0E" w:rsidP="00C74525">
      <w:pPr>
        <w:jc w:val="center"/>
        <w:rPr>
          <w:rFonts w:cs="Arial"/>
          <w:sz w:val="18"/>
          <w:szCs w:val="18"/>
        </w:rPr>
      </w:pPr>
      <w:r w:rsidRPr="00C74525">
        <w:rPr>
          <w:rFonts w:cs="Arial"/>
          <w:sz w:val="18"/>
          <w:szCs w:val="18"/>
        </w:rPr>
        <w:t xml:space="preserve">Tabla </w:t>
      </w:r>
      <w:r w:rsidR="0092077B" w:rsidRPr="00C74525">
        <w:rPr>
          <w:rFonts w:cs="Arial"/>
          <w:sz w:val="18"/>
          <w:szCs w:val="18"/>
        </w:rPr>
        <w:t>7</w:t>
      </w:r>
      <w:r w:rsidR="00F844BF" w:rsidRPr="00C74525">
        <w:rPr>
          <w:rFonts w:cs="Arial"/>
          <w:sz w:val="18"/>
          <w:szCs w:val="18"/>
        </w:rPr>
        <w:t xml:space="preserve">: Cantidad de documentos SIG </w:t>
      </w:r>
      <w:r w:rsidR="00B56F0E" w:rsidRPr="00C74525">
        <w:rPr>
          <w:rFonts w:cs="Arial"/>
          <w:sz w:val="18"/>
          <w:szCs w:val="18"/>
        </w:rPr>
        <w:t>a junio 30 de 2019</w:t>
      </w:r>
      <w:r w:rsidR="00F844BF" w:rsidRPr="00C74525">
        <w:rPr>
          <w:rFonts w:cs="Arial"/>
          <w:sz w:val="18"/>
          <w:szCs w:val="18"/>
        </w:rPr>
        <w:t>.</w:t>
      </w:r>
    </w:p>
    <w:tbl>
      <w:tblPr>
        <w:tblW w:w="2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2"/>
        <w:gridCol w:w="881"/>
      </w:tblGrid>
      <w:tr w:rsidR="00134E0E" w:rsidRPr="00C74525" w:rsidTr="009E5D6E">
        <w:trPr>
          <w:cantSplit/>
          <w:trHeight w:val="20"/>
          <w:jc w:val="center"/>
        </w:trPr>
        <w:tc>
          <w:tcPr>
            <w:tcW w:w="1862" w:type="dxa"/>
            <w:shd w:val="clear" w:color="auto" w:fill="BFBFBF" w:themeFill="background1" w:themeFillShade="BF"/>
            <w:vAlign w:val="bottom"/>
            <w:hideMark/>
          </w:tcPr>
          <w:p w:rsidR="00134E0E" w:rsidRPr="00C74525" w:rsidRDefault="00134E0E" w:rsidP="00C74525">
            <w:pPr>
              <w:jc w:val="left"/>
              <w:rPr>
                <w:rFonts w:cs="Arial"/>
                <w:b/>
                <w:sz w:val="18"/>
                <w:szCs w:val="18"/>
                <w:lang w:val="es-ES" w:eastAsia="es-ES"/>
              </w:rPr>
            </w:pPr>
            <w:r w:rsidRPr="00C74525">
              <w:rPr>
                <w:rFonts w:cs="Arial"/>
                <w:b/>
                <w:sz w:val="18"/>
                <w:szCs w:val="18"/>
                <w:lang w:val="es-ES" w:eastAsia="es-ES"/>
              </w:rPr>
              <w:t>Documento</w:t>
            </w:r>
          </w:p>
        </w:tc>
        <w:tc>
          <w:tcPr>
            <w:tcW w:w="881" w:type="dxa"/>
            <w:shd w:val="clear" w:color="auto" w:fill="BFBFBF" w:themeFill="background1" w:themeFillShade="BF"/>
            <w:vAlign w:val="bottom"/>
            <w:hideMark/>
          </w:tcPr>
          <w:p w:rsidR="00134E0E" w:rsidRPr="00C74525" w:rsidRDefault="00134E0E" w:rsidP="00C74525">
            <w:pPr>
              <w:jc w:val="right"/>
              <w:rPr>
                <w:rFonts w:cs="Arial"/>
                <w:b/>
                <w:sz w:val="18"/>
                <w:szCs w:val="18"/>
                <w:lang w:val="es-ES" w:eastAsia="es-ES"/>
              </w:rPr>
            </w:pPr>
            <w:r w:rsidRPr="00C74525">
              <w:rPr>
                <w:rFonts w:cs="Arial"/>
                <w:b/>
                <w:sz w:val="18"/>
                <w:szCs w:val="18"/>
                <w:lang w:val="es-ES" w:eastAsia="es-ES"/>
              </w:rPr>
              <w:t>cantidad</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Procesos</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15</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 xml:space="preserve">Procedimientos </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164</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Formatos</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283</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Instructivos</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66</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Externos</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54</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Comités y similares</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45</w:t>
            </w:r>
          </w:p>
        </w:tc>
      </w:tr>
      <w:tr w:rsidR="00F75164" w:rsidRPr="00C74525" w:rsidTr="00F75164">
        <w:trPr>
          <w:cantSplit/>
          <w:trHeight w:val="20"/>
          <w:jc w:val="center"/>
        </w:trPr>
        <w:tc>
          <w:tcPr>
            <w:tcW w:w="1862" w:type="dxa"/>
            <w:shd w:val="clear" w:color="auto" w:fill="auto"/>
            <w:vAlign w:val="bottom"/>
            <w:hideMark/>
          </w:tcPr>
          <w:p w:rsidR="00F75164" w:rsidRPr="00C74525" w:rsidRDefault="00F75164" w:rsidP="00C74525">
            <w:pPr>
              <w:jc w:val="left"/>
              <w:rPr>
                <w:rFonts w:cs="Arial"/>
                <w:sz w:val="18"/>
                <w:szCs w:val="18"/>
                <w:lang w:val="es-ES" w:eastAsia="es-ES"/>
              </w:rPr>
            </w:pPr>
            <w:r w:rsidRPr="00C74525">
              <w:rPr>
                <w:rFonts w:cs="Arial"/>
                <w:sz w:val="18"/>
                <w:szCs w:val="18"/>
                <w:lang w:val="es-ES" w:eastAsia="es-ES"/>
              </w:rPr>
              <w:t>Línea estratégica</w:t>
            </w:r>
          </w:p>
        </w:tc>
        <w:tc>
          <w:tcPr>
            <w:tcW w:w="881" w:type="dxa"/>
            <w:shd w:val="clear" w:color="auto" w:fill="auto"/>
            <w:vAlign w:val="center"/>
            <w:hideMark/>
          </w:tcPr>
          <w:p w:rsidR="00F75164" w:rsidRPr="00C74525" w:rsidRDefault="00DB347E" w:rsidP="00C74525">
            <w:pPr>
              <w:jc w:val="center"/>
              <w:rPr>
                <w:rFonts w:cs="Arial"/>
                <w:sz w:val="18"/>
                <w:szCs w:val="18"/>
                <w:lang w:val="es-ES" w:eastAsia="es-ES"/>
              </w:rPr>
            </w:pPr>
            <w:r w:rsidRPr="00C74525">
              <w:rPr>
                <w:rFonts w:cs="Arial"/>
                <w:sz w:val="18"/>
                <w:szCs w:val="18"/>
                <w:lang w:val="es-ES" w:eastAsia="es-ES"/>
              </w:rPr>
              <w:t>85</w:t>
            </w:r>
          </w:p>
        </w:tc>
      </w:tr>
      <w:tr w:rsidR="00F75164" w:rsidRPr="00C74525" w:rsidTr="00F75164">
        <w:trPr>
          <w:cantSplit/>
          <w:trHeight w:val="20"/>
          <w:jc w:val="center"/>
        </w:trPr>
        <w:tc>
          <w:tcPr>
            <w:tcW w:w="1862" w:type="dxa"/>
            <w:shd w:val="clear" w:color="auto" w:fill="BFBFBF" w:themeFill="background1" w:themeFillShade="BF"/>
            <w:vAlign w:val="bottom"/>
            <w:hideMark/>
          </w:tcPr>
          <w:p w:rsidR="00F75164" w:rsidRPr="00C74525" w:rsidRDefault="00F75164" w:rsidP="00C74525">
            <w:pPr>
              <w:jc w:val="left"/>
              <w:rPr>
                <w:rFonts w:cs="Arial"/>
                <w:b/>
                <w:sz w:val="18"/>
                <w:szCs w:val="18"/>
                <w:lang w:val="es-ES" w:eastAsia="es-ES"/>
              </w:rPr>
            </w:pPr>
            <w:r w:rsidRPr="00C74525">
              <w:rPr>
                <w:rFonts w:cs="Arial"/>
                <w:b/>
                <w:sz w:val="18"/>
                <w:szCs w:val="18"/>
                <w:lang w:val="es-ES" w:eastAsia="es-ES"/>
              </w:rPr>
              <w:t>Total</w:t>
            </w:r>
          </w:p>
        </w:tc>
        <w:tc>
          <w:tcPr>
            <w:tcW w:w="881" w:type="dxa"/>
            <w:shd w:val="clear" w:color="auto" w:fill="BFBFBF" w:themeFill="background1" w:themeFillShade="BF"/>
            <w:vAlign w:val="center"/>
            <w:hideMark/>
          </w:tcPr>
          <w:p w:rsidR="00F75164" w:rsidRPr="00C74525" w:rsidRDefault="00DB347E" w:rsidP="00C74525">
            <w:pPr>
              <w:jc w:val="center"/>
              <w:rPr>
                <w:rFonts w:cs="Arial"/>
                <w:b/>
                <w:bCs/>
                <w:sz w:val="18"/>
                <w:szCs w:val="18"/>
                <w:lang w:val="es-ES" w:eastAsia="es-ES"/>
              </w:rPr>
            </w:pPr>
            <w:r w:rsidRPr="00C74525">
              <w:rPr>
                <w:rFonts w:cs="Arial"/>
                <w:b/>
                <w:bCs/>
                <w:sz w:val="18"/>
                <w:szCs w:val="18"/>
                <w:lang w:val="es-ES" w:eastAsia="es-ES"/>
              </w:rPr>
              <w:t>712</w:t>
            </w:r>
          </w:p>
        </w:tc>
      </w:tr>
    </w:tbl>
    <w:p w:rsidR="00134E0E" w:rsidRPr="00C74525" w:rsidRDefault="00134E0E" w:rsidP="00C74525">
      <w:pPr>
        <w:jc w:val="center"/>
        <w:rPr>
          <w:rFonts w:cs="Arial"/>
          <w:sz w:val="18"/>
          <w:szCs w:val="18"/>
        </w:rPr>
      </w:pPr>
      <w:r w:rsidRPr="00C74525">
        <w:rPr>
          <w:rFonts w:cs="Arial"/>
          <w:sz w:val="18"/>
          <w:szCs w:val="18"/>
        </w:rPr>
        <w:t xml:space="preserve">Fuente: Módulo de documentos del aplicativo SIPA, con corte </w:t>
      </w:r>
      <w:r w:rsidR="00B56F0E" w:rsidRPr="00C74525">
        <w:rPr>
          <w:rFonts w:cs="Arial"/>
          <w:sz w:val="18"/>
          <w:szCs w:val="18"/>
        </w:rPr>
        <w:t>a junio 30 de 2019</w:t>
      </w:r>
      <w:r w:rsidRPr="00C74525">
        <w:rPr>
          <w:rFonts w:cs="Arial"/>
          <w:sz w:val="18"/>
          <w:szCs w:val="18"/>
        </w:rPr>
        <w:t>.</w:t>
      </w:r>
    </w:p>
    <w:p w:rsidR="00F75164" w:rsidRPr="00C74525" w:rsidRDefault="00F75164" w:rsidP="00C74525">
      <w:pPr>
        <w:rPr>
          <w:rFonts w:cs="Arial"/>
          <w:sz w:val="22"/>
          <w:szCs w:val="22"/>
        </w:rPr>
      </w:pPr>
    </w:p>
    <w:p w:rsidR="006F123E" w:rsidRPr="00C74525" w:rsidRDefault="008E79A9" w:rsidP="00C74525">
      <w:pPr>
        <w:rPr>
          <w:rFonts w:cs="Arial"/>
          <w:sz w:val="22"/>
          <w:szCs w:val="22"/>
        </w:rPr>
      </w:pPr>
      <w:r w:rsidRPr="00C74525">
        <w:rPr>
          <w:rFonts w:cs="Arial"/>
          <w:sz w:val="22"/>
          <w:szCs w:val="22"/>
          <w:lang w:val="es-ES"/>
        </w:rPr>
        <w:t xml:space="preserve">A junio 30 de 2019 </w:t>
      </w:r>
      <w:r w:rsidR="006F123E" w:rsidRPr="00C74525">
        <w:rPr>
          <w:rFonts w:cs="Arial"/>
          <w:sz w:val="22"/>
          <w:szCs w:val="22"/>
        </w:rPr>
        <w:t xml:space="preserve">la </w:t>
      </w:r>
      <w:r w:rsidR="00737661" w:rsidRPr="00C74525">
        <w:rPr>
          <w:rFonts w:cs="Arial"/>
          <w:sz w:val="22"/>
          <w:szCs w:val="22"/>
        </w:rPr>
        <w:t xml:space="preserve">dinámica de </w:t>
      </w:r>
      <w:r w:rsidR="006F123E" w:rsidRPr="00C74525">
        <w:rPr>
          <w:rFonts w:cs="Arial"/>
          <w:sz w:val="22"/>
          <w:szCs w:val="22"/>
        </w:rPr>
        <w:t>revisión documental se sigue dando</w:t>
      </w:r>
      <w:r w:rsidR="00737661" w:rsidRPr="00C74525">
        <w:rPr>
          <w:rFonts w:cs="Arial"/>
          <w:sz w:val="22"/>
          <w:szCs w:val="22"/>
        </w:rPr>
        <w:t xml:space="preserve">, en las cantidades que muestra </w:t>
      </w:r>
      <w:r w:rsidR="006F123E" w:rsidRPr="00C74525">
        <w:rPr>
          <w:rFonts w:cs="Arial"/>
          <w:sz w:val="22"/>
          <w:szCs w:val="22"/>
        </w:rPr>
        <w:t>el siguiente gráfico:</w:t>
      </w:r>
    </w:p>
    <w:p w:rsidR="00117DBF" w:rsidRPr="00C74525" w:rsidRDefault="00117DBF" w:rsidP="00C74525">
      <w:pPr>
        <w:jc w:val="center"/>
        <w:rPr>
          <w:rFonts w:cs="Arial"/>
          <w:sz w:val="18"/>
          <w:szCs w:val="18"/>
        </w:rPr>
      </w:pPr>
    </w:p>
    <w:p w:rsidR="00E60340" w:rsidRPr="00C74525" w:rsidRDefault="00B83AD5" w:rsidP="00C74525">
      <w:pPr>
        <w:jc w:val="center"/>
        <w:rPr>
          <w:rFonts w:cs="Arial"/>
          <w:sz w:val="18"/>
          <w:szCs w:val="18"/>
        </w:rPr>
      </w:pPr>
      <w:r w:rsidRPr="00C74525">
        <w:rPr>
          <w:rFonts w:cs="Arial"/>
          <w:sz w:val="18"/>
          <w:szCs w:val="18"/>
        </w:rPr>
        <w:t>Gráfico 1: Revisión documental del SIG en los últimos años.</w:t>
      </w:r>
    </w:p>
    <w:p w:rsidR="00DB347E" w:rsidRPr="00C74525" w:rsidRDefault="00DB347E" w:rsidP="00C74525">
      <w:pPr>
        <w:jc w:val="center"/>
        <w:rPr>
          <w:rFonts w:cs="Arial"/>
          <w:sz w:val="18"/>
          <w:szCs w:val="18"/>
        </w:rPr>
      </w:pPr>
      <w:r w:rsidRPr="00C74525">
        <w:rPr>
          <w:rFonts w:cs="Arial"/>
          <w:noProof/>
          <w:szCs w:val="18"/>
          <w:lang w:val="es-ES" w:eastAsia="es-ES"/>
        </w:rPr>
        <w:drawing>
          <wp:inline distT="0" distB="0" distL="0" distR="0">
            <wp:extent cx="4545087" cy="1424353"/>
            <wp:effectExtent l="19050" t="0" r="7863"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45330" cy="1424429"/>
                    </a:xfrm>
                    <a:prstGeom prst="rect">
                      <a:avLst/>
                    </a:prstGeom>
                    <a:noFill/>
                    <a:ln w="9525">
                      <a:noFill/>
                      <a:miter lim="800000"/>
                      <a:headEnd/>
                      <a:tailEnd/>
                    </a:ln>
                  </pic:spPr>
                </pic:pic>
              </a:graphicData>
            </a:graphic>
          </wp:inline>
        </w:drawing>
      </w:r>
    </w:p>
    <w:p w:rsidR="006F123E" w:rsidRPr="00C74525" w:rsidRDefault="00D921BF" w:rsidP="00C74525">
      <w:pPr>
        <w:jc w:val="center"/>
        <w:rPr>
          <w:rFonts w:cs="Arial"/>
          <w:sz w:val="18"/>
          <w:szCs w:val="18"/>
        </w:rPr>
      </w:pPr>
      <w:r>
        <w:rPr>
          <w:rFonts w:cs="Arial"/>
          <w:sz w:val="18"/>
          <w:szCs w:val="18"/>
        </w:rPr>
        <w:t>Fuente: R</w:t>
      </w:r>
      <w:r w:rsidR="006F123E" w:rsidRPr="00C74525">
        <w:rPr>
          <w:rFonts w:cs="Arial"/>
          <w:sz w:val="18"/>
          <w:szCs w:val="18"/>
        </w:rPr>
        <w:t>eporte “Documentos Modificados por Mes V1” generado en el aplicativo SIPA para los años señalados en el gráfico.</w:t>
      </w:r>
    </w:p>
    <w:p w:rsidR="006F123E" w:rsidRPr="00C74525" w:rsidRDefault="006F123E" w:rsidP="00C74525">
      <w:pPr>
        <w:rPr>
          <w:rFonts w:cs="Arial"/>
          <w:sz w:val="22"/>
          <w:szCs w:val="22"/>
        </w:rPr>
      </w:pPr>
    </w:p>
    <w:p w:rsidR="00134E0E" w:rsidRPr="00C74525" w:rsidRDefault="00B83AD5" w:rsidP="00C74525">
      <w:pPr>
        <w:rPr>
          <w:rFonts w:cs="Arial"/>
          <w:sz w:val="22"/>
          <w:szCs w:val="22"/>
        </w:rPr>
      </w:pPr>
      <w:r w:rsidRPr="00C74525">
        <w:rPr>
          <w:rFonts w:cs="Arial"/>
          <w:sz w:val="22"/>
          <w:szCs w:val="22"/>
        </w:rPr>
        <w:t xml:space="preserve">La cantidad de documentos con que cuenta cada proceso </w:t>
      </w:r>
      <w:r w:rsidR="00D66D7A" w:rsidRPr="00C74525">
        <w:rPr>
          <w:rFonts w:cs="Arial"/>
          <w:sz w:val="22"/>
          <w:szCs w:val="22"/>
        </w:rPr>
        <w:t>podría</w:t>
      </w:r>
      <w:r w:rsidRPr="00C74525">
        <w:rPr>
          <w:rFonts w:cs="Arial"/>
          <w:sz w:val="22"/>
          <w:szCs w:val="22"/>
        </w:rPr>
        <w:t xml:space="preserve"> estar influyendo en que la intervención sea cada vez menor. Por ejemplo, en </w:t>
      </w:r>
      <w:r w:rsidR="00134E0E" w:rsidRPr="00C74525">
        <w:rPr>
          <w:rFonts w:cs="Arial"/>
          <w:sz w:val="22"/>
          <w:szCs w:val="22"/>
        </w:rPr>
        <w:t xml:space="preserve">la tabla </w:t>
      </w:r>
      <w:r w:rsidR="0089031C" w:rsidRPr="00C74525">
        <w:rPr>
          <w:rFonts w:cs="Arial"/>
          <w:sz w:val="22"/>
          <w:szCs w:val="22"/>
        </w:rPr>
        <w:t>1</w:t>
      </w:r>
      <w:r w:rsidRPr="00C74525">
        <w:rPr>
          <w:rFonts w:cs="Arial"/>
          <w:sz w:val="22"/>
          <w:szCs w:val="22"/>
        </w:rPr>
        <w:t xml:space="preserve"> se observa que</w:t>
      </w:r>
      <w:r w:rsidR="00134E0E" w:rsidRPr="00C74525">
        <w:rPr>
          <w:rFonts w:cs="Arial"/>
          <w:sz w:val="22"/>
          <w:szCs w:val="22"/>
        </w:rPr>
        <w:t xml:space="preserve"> el proceso con el mayor número de documentos es </w:t>
      </w:r>
      <w:r w:rsidR="00D66D7A" w:rsidRPr="00C74525">
        <w:rPr>
          <w:rFonts w:cs="Arial"/>
          <w:sz w:val="22"/>
          <w:szCs w:val="22"/>
        </w:rPr>
        <w:t>Administración del Talento Humano</w:t>
      </w:r>
      <w:r w:rsidR="00134E0E" w:rsidRPr="00C74525">
        <w:rPr>
          <w:rFonts w:cs="Arial"/>
          <w:sz w:val="22"/>
          <w:szCs w:val="22"/>
        </w:rPr>
        <w:t xml:space="preserve">, lo cual representa el </w:t>
      </w:r>
      <w:r w:rsidR="00D66D7A" w:rsidRPr="00C74525">
        <w:rPr>
          <w:rFonts w:cs="Arial"/>
          <w:sz w:val="22"/>
          <w:szCs w:val="22"/>
        </w:rPr>
        <w:t>15</w:t>
      </w:r>
      <w:r w:rsidR="00134E0E" w:rsidRPr="00C74525">
        <w:rPr>
          <w:rFonts w:cs="Arial"/>
          <w:sz w:val="22"/>
          <w:szCs w:val="22"/>
        </w:rPr>
        <w:t>% de la documentación SIG de la entidad, y en consecuencia un exigente trabajo para lograr la actualización de los mismos.</w:t>
      </w:r>
    </w:p>
    <w:p w:rsidR="00240262" w:rsidRPr="00C74525" w:rsidRDefault="00240262" w:rsidP="00C74525">
      <w:pPr>
        <w:rPr>
          <w:rFonts w:cs="Arial"/>
          <w:sz w:val="22"/>
          <w:szCs w:val="22"/>
        </w:rPr>
      </w:pPr>
    </w:p>
    <w:p w:rsidR="00240262" w:rsidRPr="00C74525" w:rsidRDefault="00240262" w:rsidP="00C74525">
      <w:pPr>
        <w:rPr>
          <w:rFonts w:cs="Arial"/>
          <w:sz w:val="22"/>
          <w:szCs w:val="22"/>
        </w:rPr>
      </w:pPr>
      <w:r w:rsidRPr="00C74525">
        <w:rPr>
          <w:rFonts w:cs="Arial"/>
          <w:sz w:val="22"/>
          <w:szCs w:val="22"/>
        </w:rPr>
        <w:t>De otro lado, los documentos se encuentran en las siguientes versiones:</w:t>
      </w:r>
    </w:p>
    <w:p w:rsidR="00D9284D" w:rsidRPr="00C74525" w:rsidRDefault="00D9284D" w:rsidP="00C74525">
      <w:pPr>
        <w:autoSpaceDE w:val="0"/>
        <w:autoSpaceDN w:val="0"/>
        <w:adjustRightInd w:val="0"/>
        <w:rPr>
          <w:rFonts w:cs="Arial"/>
          <w:sz w:val="22"/>
          <w:szCs w:val="22"/>
          <w:lang w:val="es-ES"/>
        </w:rPr>
      </w:pPr>
    </w:p>
    <w:p w:rsidR="00D9284D" w:rsidRPr="00C74525" w:rsidRDefault="00D9284D" w:rsidP="00C74525">
      <w:pPr>
        <w:shd w:val="clear" w:color="auto" w:fill="FFFFFF"/>
        <w:jc w:val="center"/>
        <w:rPr>
          <w:rFonts w:cs="Arial"/>
          <w:sz w:val="18"/>
          <w:szCs w:val="18"/>
          <w:lang w:val="es-ES"/>
        </w:rPr>
      </w:pPr>
      <w:r w:rsidRPr="00C74525">
        <w:rPr>
          <w:rFonts w:cs="Arial"/>
          <w:sz w:val="18"/>
          <w:szCs w:val="18"/>
          <w:lang w:val="es-ES"/>
        </w:rPr>
        <w:t xml:space="preserve">Tabla </w:t>
      </w:r>
      <w:r w:rsidR="0092077B" w:rsidRPr="00C74525">
        <w:rPr>
          <w:rFonts w:cs="Arial"/>
          <w:sz w:val="18"/>
          <w:szCs w:val="18"/>
          <w:lang w:val="es-ES"/>
        </w:rPr>
        <w:t>8</w:t>
      </w:r>
      <w:r w:rsidRPr="00C74525">
        <w:rPr>
          <w:rFonts w:cs="Arial"/>
          <w:sz w:val="18"/>
          <w:szCs w:val="18"/>
          <w:lang w:val="es-ES"/>
        </w:rPr>
        <w:t>: Actualización anual de trámites, procedimientos y formatos.</w:t>
      </w:r>
    </w:p>
    <w:tbl>
      <w:tblPr>
        <w:tblStyle w:val="Tablaconcuadrcula"/>
        <w:tblW w:w="8874" w:type="dxa"/>
        <w:jc w:val="center"/>
        <w:tblLook w:val="04A0" w:firstRow="1" w:lastRow="0" w:firstColumn="1" w:lastColumn="0" w:noHBand="0" w:noVBand="1"/>
      </w:tblPr>
      <w:tblGrid>
        <w:gridCol w:w="2038"/>
        <w:gridCol w:w="680"/>
        <w:gridCol w:w="680"/>
        <w:gridCol w:w="680"/>
        <w:gridCol w:w="680"/>
        <w:gridCol w:w="680"/>
        <w:gridCol w:w="680"/>
        <w:gridCol w:w="680"/>
        <w:gridCol w:w="680"/>
        <w:gridCol w:w="680"/>
        <w:gridCol w:w="716"/>
      </w:tblGrid>
      <w:tr w:rsidR="0012596F" w:rsidRPr="00C74525" w:rsidTr="009D1539">
        <w:trPr>
          <w:cantSplit/>
          <w:jc w:val="center"/>
        </w:trPr>
        <w:tc>
          <w:tcPr>
            <w:tcW w:w="2038" w:type="dxa"/>
            <w:shd w:val="clear" w:color="auto" w:fill="D9D9D9" w:themeFill="background1" w:themeFillShade="D9"/>
            <w:vAlign w:val="center"/>
          </w:tcPr>
          <w:p w:rsidR="0012596F" w:rsidRPr="00C74525" w:rsidRDefault="0012596F" w:rsidP="00C74525">
            <w:pPr>
              <w:autoSpaceDE w:val="0"/>
              <w:autoSpaceDN w:val="0"/>
              <w:adjustRightInd w:val="0"/>
              <w:jc w:val="left"/>
              <w:rPr>
                <w:rFonts w:ascii="Arial" w:hAnsi="Arial" w:cs="Arial"/>
                <w:b/>
                <w:sz w:val="18"/>
                <w:szCs w:val="18"/>
                <w:lang w:val="es-ES"/>
              </w:rPr>
            </w:pPr>
            <w:r w:rsidRPr="00C74525">
              <w:rPr>
                <w:rFonts w:ascii="Arial" w:hAnsi="Arial" w:cs="Arial"/>
                <w:b/>
                <w:sz w:val="18"/>
                <w:szCs w:val="18"/>
                <w:lang w:val="es-ES"/>
              </w:rPr>
              <w:t>Año de actualización</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2011</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2012</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2013</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2014</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2015</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2016</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2017</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2018</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2019</w:t>
            </w:r>
          </w:p>
        </w:tc>
        <w:tc>
          <w:tcPr>
            <w:tcW w:w="716" w:type="dxa"/>
            <w:shd w:val="clear" w:color="auto" w:fill="D9D9D9" w:themeFill="background1" w:themeFillShade="D9"/>
            <w:vAlign w:val="bottom"/>
          </w:tcPr>
          <w:p w:rsidR="0012596F" w:rsidRPr="0012596F" w:rsidRDefault="0012596F" w:rsidP="00C74525">
            <w:pPr>
              <w:jc w:val="center"/>
              <w:rPr>
                <w:rFonts w:ascii="Arial" w:hAnsi="Arial" w:cs="Arial"/>
                <w:b/>
                <w:bCs/>
                <w:color w:val="000000"/>
                <w:sz w:val="18"/>
                <w:szCs w:val="18"/>
                <w:lang w:val="es-ES" w:eastAsia="es-ES"/>
              </w:rPr>
            </w:pPr>
            <w:r w:rsidRPr="0012596F">
              <w:rPr>
                <w:rFonts w:ascii="Arial" w:hAnsi="Arial" w:cs="Arial"/>
                <w:b/>
                <w:bCs/>
                <w:color w:val="000000"/>
                <w:sz w:val="18"/>
                <w:szCs w:val="18"/>
                <w:lang w:val="es-ES"/>
              </w:rPr>
              <w:t>Total</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Procesos</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7</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15</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 xml:space="preserve">Procedimientos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39</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40</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47</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164</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Formatos</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101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80</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57</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42</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283</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Instructivos</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20</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18</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17</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7</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66</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Externos</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7</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4</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9</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16</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54</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Comités y similares</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6</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9</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7</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2</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45</w:t>
            </w:r>
          </w:p>
        </w:tc>
      </w:tr>
      <w:tr w:rsidR="0012596F" w:rsidRPr="00C74525" w:rsidTr="009D1539">
        <w:trPr>
          <w:cantSplit/>
          <w:jc w:val="center"/>
        </w:trPr>
        <w:tc>
          <w:tcPr>
            <w:tcW w:w="2038" w:type="dxa"/>
            <w:vAlign w:val="bottom"/>
          </w:tcPr>
          <w:p w:rsidR="0012596F" w:rsidRPr="00C74525" w:rsidRDefault="0012596F" w:rsidP="00C74525">
            <w:pPr>
              <w:jc w:val="left"/>
              <w:rPr>
                <w:rFonts w:ascii="Arial" w:hAnsi="Arial" w:cs="Arial"/>
                <w:sz w:val="18"/>
                <w:szCs w:val="18"/>
                <w:lang w:val="es-ES" w:eastAsia="es-ES"/>
              </w:rPr>
            </w:pPr>
            <w:r w:rsidRPr="00C74525">
              <w:rPr>
                <w:rFonts w:ascii="Arial" w:hAnsi="Arial" w:cs="Arial"/>
                <w:sz w:val="18"/>
                <w:szCs w:val="18"/>
                <w:lang w:val="es-ES" w:eastAsia="es-ES"/>
              </w:rPr>
              <w:t>Línea estratégica</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 </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13</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5</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32</w:t>
            </w:r>
          </w:p>
        </w:tc>
        <w:tc>
          <w:tcPr>
            <w:tcW w:w="680"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rPr>
              <w:t>34</w:t>
            </w:r>
          </w:p>
        </w:tc>
        <w:tc>
          <w:tcPr>
            <w:tcW w:w="716" w:type="dxa"/>
            <w:vAlign w:val="bottom"/>
          </w:tcPr>
          <w:p w:rsidR="0012596F" w:rsidRPr="0012596F" w:rsidRDefault="0012596F" w:rsidP="00C74525">
            <w:pPr>
              <w:jc w:val="center"/>
              <w:rPr>
                <w:rFonts w:ascii="Arial" w:hAnsi="Arial" w:cs="Arial"/>
                <w:color w:val="000000"/>
                <w:sz w:val="18"/>
                <w:szCs w:val="18"/>
                <w:lang w:val="es-ES" w:eastAsia="es-ES"/>
              </w:rPr>
            </w:pPr>
            <w:r w:rsidRPr="0012596F">
              <w:rPr>
                <w:rFonts w:ascii="Arial" w:hAnsi="Arial" w:cs="Arial"/>
                <w:color w:val="000000"/>
                <w:sz w:val="18"/>
                <w:szCs w:val="18"/>
                <w:lang w:val="es-ES" w:eastAsia="es-ES"/>
              </w:rPr>
              <w:t>85</w:t>
            </w:r>
          </w:p>
        </w:tc>
      </w:tr>
      <w:tr w:rsidR="0012596F" w:rsidRPr="00C74525" w:rsidTr="009D1539">
        <w:trPr>
          <w:cantSplit/>
          <w:jc w:val="center"/>
        </w:trPr>
        <w:tc>
          <w:tcPr>
            <w:tcW w:w="2038" w:type="dxa"/>
            <w:shd w:val="clear" w:color="auto" w:fill="D9D9D9" w:themeFill="background1" w:themeFillShade="D9"/>
            <w:vAlign w:val="center"/>
          </w:tcPr>
          <w:p w:rsidR="0012596F" w:rsidRPr="00C74525" w:rsidRDefault="0012596F" w:rsidP="00C74525">
            <w:pPr>
              <w:autoSpaceDE w:val="0"/>
              <w:autoSpaceDN w:val="0"/>
              <w:adjustRightInd w:val="0"/>
              <w:jc w:val="left"/>
              <w:rPr>
                <w:rFonts w:ascii="Arial" w:hAnsi="Arial" w:cs="Arial"/>
                <w:b/>
                <w:sz w:val="18"/>
                <w:szCs w:val="18"/>
                <w:lang w:val="es-ES"/>
              </w:rPr>
            </w:pPr>
            <w:r w:rsidRPr="00C74525">
              <w:rPr>
                <w:rFonts w:ascii="Arial" w:hAnsi="Arial" w:cs="Arial"/>
                <w:b/>
                <w:sz w:val="18"/>
                <w:szCs w:val="18"/>
                <w:lang w:val="es-ES"/>
              </w:rPr>
              <w:t>Total</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13</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4</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5</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9</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3</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204</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171</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164</w:t>
            </w:r>
          </w:p>
        </w:tc>
        <w:tc>
          <w:tcPr>
            <w:tcW w:w="680"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139</w:t>
            </w:r>
          </w:p>
        </w:tc>
        <w:tc>
          <w:tcPr>
            <w:tcW w:w="716" w:type="dxa"/>
            <w:shd w:val="clear" w:color="auto" w:fill="D9D9D9" w:themeFill="background1" w:themeFillShade="D9"/>
            <w:vAlign w:val="bottom"/>
          </w:tcPr>
          <w:p w:rsidR="0012596F" w:rsidRPr="0012596F" w:rsidRDefault="0012596F" w:rsidP="00C74525">
            <w:pPr>
              <w:jc w:val="center"/>
              <w:rPr>
                <w:rFonts w:ascii="Arial" w:hAnsi="Arial" w:cs="Arial"/>
                <w:b/>
                <w:color w:val="000000"/>
                <w:sz w:val="18"/>
                <w:szCs w:val="18"/>
                <w:lang w:val="es-ES" w:eastAsia="es-ES"/>
              </w:rPr>
            </w:pPr>
            <w:r w:rsidRPr="0012596F">
              <w:rPr>
                <w:rFonts w:ascii="Arial" w:hAnsi="Arial" w:cs="Arial"/>
                <w:b/>
                <w:color w:val="000000"/>
                <w:sz w:val="18"/>
                <w:szCs w:val="18"/>
                <w:lang w:val="es-ES" w:eastAsia="es-ES"/>
              </w:rPr>
              <w:t>712</w:t>
            </w:r>
          </w:p>
        </w:tc>
      </w:tr>
    </w:tbl>
    <w:p w:rsidR="00D9284D" w:rsidRPr="00C74525" w:rsidRDefault="00D9284D" w:rsidP="00C74525">
      <w:pPr>
        <w:autoSpaceDE w:val="0"/>
        <w:autoSpaceDN w:val="0"/>
        <w:adjustRightInd w:val="0"/>
        <w:jc w:val="center"/>
        <w:rPr>
          <w:rFonts w:cs="Arial"/>
          <w:sz w:val="18"/>
          <w:szCs w:val="18"/>
          <w:lang w:val="es-ES"/>
        </w:rPr>
      </w:pPr>
      <w:r w:rsidRPr="00C74525">
        <w:rPr>
          <w:rFonts w:cs="Arial"/>
          <w:sz w:val="18"/>
          <w:szCs w:val="18"/>
          <w:lang w:val="es-ES"/>
        </w:rPr>
        <w:t>Fuente: Reporte del SIPA “Listado maestro de documentos vigentes en el sistema integrado de gestión”.</w:t>
      </w:r>
    </w:p>
    <w:tbl>
      <w:tblPr>
        <w:tblW w:w="7790" w:type="dxa"/>
        <w:tblInd w:w="55" w:type="dxa"/>
        <w:tblCellMar>
          <w:left w:w="70" w:type="dxa"/>
          <w:right w:w="70" w:type="dxa"/>
        </w:tblCellMar>
        <w:tblLook w:val="04A0" w:firstRow="1" w:lastRow="0" w:firstColumn="1" w:lastColumn="0" w:noHBand="0" w:noVBand="1"/>
      </w:tblPr>
      <w:tblGrid>
        <w:gridCol w:w="7790"/>
      </w:tblGrid>
      <w:tr w:rsidR="006441F8" w:rsidRPr="00C74525" w:rsidTr="0012596F">
        <w:trPr>
          <w:trHeight w:val="75"/>
        </w:trPr>
        <w:tc>
          <w:tcPr>
            <w:tcW w:w="7790" w:type="dxa"/>
            <w:tcBorders>
              <w:top w:val="nil"/>
              <w:left w:val="nil"/>
              <w:bottom w:val="nil"/>
              <w:right w:val="nil"/>
            </w:tcBorders>
            <w:shd w:val="clear" w:color="auto" w:fill="auto"/>
            <w:noWrap/>
            <w:vAlign w:val="bottom"/>
            <w:hideMark/>
          </w:tcPr>
          <w:p w:rsidR="006441F8" w:rsidRPr="00C74525" w:rsidRDefault="006441F8" w:rsidP="00C74525">
            <w:pPr>
              <w:jc w:val="right"/>
              <w:rPr>
                <w:rFonts w:cs="Arial"/>
                <w:color w:val="000000"/>
                <w:sz w:val="22"/>
                <w:szCs w:val="22"/>
                <w:lang w:val="es-ES" w:eastAsia="es-ES"/>
              </w:rPr>
            </w:pPr>
          </w:p>
        </w:tc>
      </w:tr>
    </w:tbl>
    <w:p w:rsidR="00AA6AB0" w:rsidRPr="00C74525" w:rsidRDefault="00AA6AB0" w:rsidP="00C74525">
      <w:pPr>
        <w:jc w:val="left"/>
        <w:rPr>
          <w:rFonts w:cs="Arial"/>
          <w:sz w:val="22"/>
          <w:szCs w:val="22"/>
          <w:lang w:val="es-ES"/>
        </w:rPr>
      </w:pPr>
    </w:p>
    <w:p w:rsidR="00E873FB" w:rsidRPr="00C74525" w:rsidRDefault="00D921BF" w:rsidP="00C74525">
      <w:pPr>
        <w:rPr>
          <w:rFonts w:cs="Arial"/>
          <w:sz w:val="22"/>
          <w:szCs w:val="22"/>
          <w:lang w:val="es-ES"/>
        </w:rPr>
      </w:pPr>
      <w:r>
        <w:rPr>
          <w:rFonts w:cs="Arial"/>
          <w:sz w:val="22"/>
          <w:szCs w:val="22"/>
          <w:lang w:val="es-ES"/>
        </w:rPr>
        <w:t>El que existan</w:t>
      </w:r>
      <w:r w:rsidR="00E873FB" w:rsidRPr="00C74525">
        <w:rPr>
          <w:rFonts w:cs="Arial"/>
          <w:sz w:val="22"/>
          <w:szCs w:val="22"/>
          <w:lang w:val="es-ES"/>
        </w:rPr>
        <w:t xml:space="preserve"> versiones de</w:t>
      </w:r>
      <w:r w:rsidR="00AA6AB0" w:rsidRPr="00C74525">
        <w:rPr>
          <w:rFonts w:cs="Arial"/>
          <w:sz w:val="22"/>
          <w:szCs w:val="22"/>
          <w:lang w:val="es-ES"/>
        </w:rPr>
        <w:t xml:space="preserve"> años anteriores</w:t>
      </w:r>
      <w:r w:rsidR="00E873FB" w:rsidRPr="00C74525">
        <w:rPr>
          <w:rFonts w:cs="Arial"/>
          <w:sz w:val="22"/>
          <w:szCs w:val="22"/>
          <w:lang w:val="es-ES"/>
        </w:rPr>
        <w:t xml:space="preserve"> al 2019</w:t>
      </w:r>
      <w:r w:rsidR="008475EB" w:rsidRPr="00C74525">
        <w:rPr>
          <w:rFonts w:cs="Arial"/>
          <w:sz w:val="22"/>
          <w:szCs w:val="22"/>
          <w:lang w:val="es-ES"/>
        </w:rPr>
        <w:t xml:space="preserve">, </w:t>
      </w:r>
      <w:r w:rsidR="00AA6AB0" w:rsidRPr="00C74525">
        <w:rPr>
          <w:rFonts w:cs="Arial"/>
          <w:sz w:val="22"/>
          <w:szCs w:val="22"/>
          <w:lang w:val="es-ES"/>
        </w:rPr>
        <w:t xml:space="preserve">no implica necesariamente que </w:t>
      </w:r>
      <w:r>
        <w:rPr>
          <w:rFonts w:cs="Arial"/>
          <w:sz w:val="22"/>
          <w:szCs w:val="22"/>
          <w:lang w:val="es-ES"/>
        </w:rPr>
        <w:t xml:space="preserve">los documentos </w:t>
      </w:r>
      <w:r w:rsidR="00AA6AB0" w:rsidRPr="00C74525">
        <w:rPr>
          <w:rFonts w:cs="Arial"/>
          <w:sz w:val="22"/>
          <w:szCs w:val="22"/>
          <w:lang w:val="es-ES"/>
        </w:rPr>
        <w:t>esté</w:t>
      </w:r>
      <w:r w:rsidR="008475EB" w:rsidRPr="00C74525">
        <w:rPr>
          <w:rFonts w:cs="Arial"/>
          <w:sz w:val="22"/>
          <w:szCs w:val="22"/>
          <w:lang w:val="es-ES"/>
        </w:rPr>
        <w:t>n</w:t>
      </w:r>
      <w:r w:rsidR="00AA6AB0" w:rsidRPr="00C74525">
        <w:rPr>
          <w:rFonts w:cs="Arial"/>
          <w:sz w:val="22"/>
          <w:szCs w:val="22"/>
          <w:lang w:val="es-ES"/>
        </w:rPr>
        <w:t xml:space="preserve"> desactualizado</w:t>
      </w:r>
      <w:r w:rsidR="00E873FB" w:rsidRPr="00C74525">
        <w:rPr>
          <w:rFonts w:cs="Arial"/>
          <w:sz w:val="22"/>
          <w:szCs w:val="22"/>
          <w:lang w:val="es-ES"/>
        </w:rPr>
        <w:t>s, salvo que cuenten con fallas</w:t>
      </w:r>
      <w:r w:rsidR="00AA6AB0" w:rsidRPr="00C74525">
        <w:rPr>
          <w:rFonts w:cs="Arial"/>
          <w:sz w:val="22"/>
          <w:szCs w:val="22"/>
          <w:lang w:val="es-ES"/>
        </w:rPr>
        <w:t xml:space="preserve"> en</w:t>
      </w:r>
      <w:r w:rsidR="00905A19" w:rsidRPr="00C74525">
        <w:rPr>
          <w:rFonts w:cs="Arial"/>
          <w:sz w:val="22"/>
          <w:szCs w:val="22"/>
          <w:lang w:val="es-ES"/>
        </w:rPr>
        <w:t xml:space="preserve"> la forma y</w:t>
      </w:r>
      <w:r w:rsidR="00AA6AB0" w:rsidRPr="00C74525">
        <w:rPr>
          <w:rFonts w:cs="Arial"/>
          <w:sz w:val="22"/>
          <w:szCs w:val="22"/>
          <w:lang w:val="es-ES"/>
        </w:rPr>
        <w:t xml:space="preserve"> contenido como </w:t>
      </w:r>
      <w:r w:rsidR="00AC1CC0" w:rsidRPr="00C74525">
        <w:rPr>
          <w:rFonts w:cs="Arial"/>
          <w:sz w:val="22"/>
          <w:szCs w:val="22"/>
          <w:lang w:val="es-ES"/>
        </w:rPr>
        <w:t>pasa en</w:t>
      </w:r>
      <w:r w:rsidR="00905A19" w:rsidRPr="00C74525">
        <w:rPr>
          <w:rFonts w:cs="Arial"/>
          <w:sz w:val="22"/>
          <w:szCs w:val="22"/>
          <w:lang w:val="es-ES"/>
        </w:rPr>
        <w:t xml:space="preserve"> los documentos</w:t>
      </w:r>
      <w:r w:rsidR="001B7C0E" w:rsidRPr="00C74525">
        <w:rPr>
          <w:rFonts w:cs="Arial"/>
          <w:sz w:val="22"/>
          <w:szCs w:val="22"/>
          <w:lang w:val="es-ES"/>
        </w:rPr>
        <w:t xml:space="preserve"> </w:t>
      </w:r>
      <w:r w:rsidR="00FF4745" w:rsidRPr="00C74525">
        <w:rPr>
          <w:rFonts w:cs="Arial"/>
          <w:sz w:val="22"/>
          <w:szCs w:val="22"/>
          <w:lang w:val="es-ES"/>
        </w:rPr>
        <w:t>en los cuales</w:t>
      </w:r>
      <w:r w:rsidR="00E873FB" w:rsidRPr="00C74525">
        <w:rPr>
          <w:rFonts w:cs="Arial"/>
          <w:sz w:val="22"/>
          <w:szCs w:val="22"/>
          <w:lang w:val="es-ES"/>
        </w:rPr>
        <w:t xml:space="preserve"> se hace alusión a normas derogadas o cuando</w:t>
      </w:r>
      <w:r w:rsidR="00FF4745" w:rsidRPr="00C74525">
        <w:rPr>
          <w:rFonts w:cs="Arial"/>
          <w:sz w:val="22"/>
          <w:szCs w:val="22"/>
          <w:lang w:val="es-ES"/>
        </w:rPr>
        <w:t xml:space="preserve"> el logo corresponde al de la administración anterior</w:t>
      </w:r>
      <w:r w:rsidR="00905A19" w:rsidRPr="00C74525">
        <w:rPr>
          <w:rFonts w:cs="Arial"/>
          <w:sz w:val="22"/>
          <w:szCs w:val="22"/>
          <w:lang w:val="es-ES"/>
        </w:rPr>
        <w:t xml:space="preserve">, </w:t>
      </w:r>
      <w:r w:rsidR="00E873FB" w:rsidRPr="00C74525">
        <w:rPr>
          <w:rFonts w:cs="Arial"/>
          <w:sz w:val="22"/>
          <w:szCs w:val="22"/>
          <w:lang w:val="es-ES"/>
        </w:rPr>
        <w:t xml:space="preserve">como </w:t>
      </w:r>
      <w:r w:rsidR="00AC1CC0" w:rsidRPr="00C74525">
        <w:rPr>
          <w:rFonts w:cs="Arial"/>
          <w:sz w:val="22"/>
          <w:szCs w:val="22"/>
          <w:lang w:val="es-ES"/>
        </w:rPr>
        <w:t>ocurre</w:t>
      </w:r>
      <w:r w:rsidR="00E873FB" w:rsidRPr="00C74525">
        <w:rPr>
          <w:rFonts w:cs="Arial"/>
          <w:sz w:val="22"/>
          <w:szCs w:val="22"/>
          <w:lang w:val="es-ES"/>
        </w:rPr>
        <w:t xml:space="preserve"> en</w:t>
      </w:r>
      <w:r w:rsidR="00905A19" w:rsidRPr="00C74525">
        <w:rPr>
          <w:rFonts w:cs="Arial"/>
          <w:sz w:val="22"/>
          <w:szCs w:val="22"/>
          <w:lang w:val="es-ES"/>
        </w:rPr>
        <w:t xml:space="preserve"> los siguientes</w:t>
      </w:r>
      <w:r w:rsidR="00E873FB" w:rsidRPr="00C74525">
        <w:rPr>
          <w:rFonts w:cs="Arial"/>
          <w:sz w:val="22"/>
          <w:szCs w:val="22"/>
          <w:lang w:val="es-ES"/>
        </w:rPr>
        <w:t xml:space="preserve"> casos</w:t>
      </w:r>
      <w:r w:rsidR="00AA6AB0" w:rsidRPr="00C74525">
        <w:rPr>
          <w:rFonts w:cs="Arial"/>
          <w:sz w:val="22"/>
          <w:szCs w:val="22"/>
          <w:lang w:val="es-ES"/>
        </w:rPr>
        <w:t>:</w:t>
      </w:r>
    </w:p>
    <w:p w:rsidR="00E873FB" w:rsidRPr="00C74525" w:rsidRDefault="00E873FB" w:rsidP="00C74525">
      <w:pPr>
        <w:rPr>
          <w:rFonts w:cs="Arial"/>
          <w:sz w:val="22"/>
          <w:szCs w:val="22"/>
          <w:lang w:val="es-ES"/>
        </w:rPr>
      </w:pPr>
    </w:p>
    <w:p w:rsidR="00F750CB" w:rsidRPr="00C74525" w:rsidRDefault="00F750CB" w:rsidP="00C74525">
      <w:pPr>
        <w:shd w:val="clear" w:color="auto" w:fill="FFFFFF"/>
        <w:jc w:val="center"/>
        <w:rPr>
          <w:rFonts w:cs="Arial"/>
          <w:sz w:val="18"/>
          <w:szCs w:val="18"/>
          <w:lang w:val="es-ES"/>
        </w:rPr>
      </w:pPr>
      <w:r w:rsidRPr="00C74525">
        <w:rPr>
          <w:rFonts w:cs="Arial"/>
          <w:sz w:val="18"/>
          <w:szCs w:val="18"/>
          <w:lang w:val="es-ES"/>
        </w:rPr>
        <w:lastRenderedPageBreak/>
        <w:t xml:space="preserve">Tabla </w:t>
      </w:r>
      <w:r w:rsidR="0092077B" w:rsidRPr="00C74525">
        <w:rPr>
          <w:rFonts w:cs="Arial"/>
          <w:sz w:val="18"/>
          <w:szCs w:val="18"/>
          <w:lang w:val="es-ES"/>
        </w:rPr>
        <w:t>9</w:t>
      </w:r>
      <w:r w:rsidRPr="00C74525">
        <w:rPr>
          <w:rFonts w:cs="Arial"/>
          <w:sz w:val="18"/>
          <w:szCs w:val="18"/>
          <w:lang w:val="es-ES"/>
        </w:rPr>
        <w:t xml:space="preserve">: </w:t>
      </w:r>
      <w:r w:rsidR="0089031C" w:rsidRPr="00C74525">
        <w:rPr>
          <w:rFonts w:cs="Arial"/>
          <w:sz w:val="18"/>
          <w:szCs w:val="18"/>
          <w:lang w:val="es-ES"/>
        </w:rPr>
        <w:t>Documentos desactualizados</w:t>
      </w:r>
      <w:r w:rsidRPr="00C74525">
        <w:rPr>
          <w:rFonts w:cs="Arial"/>
          <w:sz w:val="18"/>
          <w:szCs w:val="18"/>
          <w:lang w:val="es-ES"/>
        </w:rPr>
        <w:t>.</w:t>
      </w:r>
    </w:p>
    <w:tbl>
      <w:tblPr>
        <w:tblStyle w:val="Tablaconcuadrcula"/>
        <w:tblW w:w="4536" w:type="dxa"/>
        <w:jc w:val="center"/>
        <w:tblLook w:val="04A0" w:firstRow="1" w:lastRow="0" w:firstColumn="1" w:lastColumn="0" w:noHBand="0" w:noVBand="1"/>
      </w:tblPr>
      <w:tblGrid>
        <w:gridCol w:w="1134"/>
        <w:gridCol w:w="1134"/>
        <w:gridCol w:w="1134"/>
        <w:gridCol w:w="1134"/>
      </w:tblGrid>
      <w:tr w:rsidR="00AA6AB0" w:rsidRPr="00C74525" w:rsidTr="0089031C">
        <w:trPr>
          <w:cantSplit/>
          <w:jc w:val="center"/>
        </w:trPr>
        <w:tc>
          <w:tcPr>
            <w:tcW w:w="1134" w:type="dxa"/>
            <w:shd w:val="clear" w:color="auto" w:fill="D9D9D9" w:themeFill="background1" w:themeFillShade="D9"/>
            <w:vAlign w:val="center"/>
          </w:tcPr>
          <w:p w:rsidR="00AA6AB0" w:rsidRPr="00C74525" w:rsidRDefault="00AA6AB0" w:rsidP="00C74525">
            <w:pPr>
              <w:autoSpaceDE w:val="0"/>
              <w:autoSpaceDN w:val="0"/>
              <w:adjustRightInd w:val="0"/>
              <w:jc w:val="center"/>
              <w:rPr>
                <w:rFonts w:ascii="Arial" w:hAnsi="Arial" w:cs="Arial"/>
                <w:b/>
                <w:sz w:val="18"/>
                <w:szCs w:val="18"/>
                <w:lang w:val="es-ES"/>
              </w:rPr>
            </w:pPr>
            <w:r w:rsidRPr="00C74525">
              <w:rPr>
                <w:rFonts w:ascii="Arial" w:hAnsi="Arial" w:cs="Arial"/>
                <w:b/>
                <w:sz w:val="18"/>
                <w:szCs w:val="18"/>
                <w:lang w:val="es-ES"/>
              </w:rPr>
              <w:t>2011</w:t>
            </w:r>
          </w:p>
        </w:tc>
        <w:tc>
          <w:tcPr>
            <w:tcW w:w="1134" w:type="dxa"/>
            <w:shd w:val="clear" w:color="auto" w:fill="D9D9D9" w:themeFill="background1" w:themeFillShade="D9"/>
            <w:vAlign w:val="center"/>
          </w:tcPr>
          <w:p w:rsidR="00AA6AB0" w:rsidRPr="00C74525" w:rsidRDefault="00AA6AB0" w:rsidP="00C74525">
            <w:pPr>
              <w:autoSpaceDE w:val="0"/>
              <w:autoSpaceDN w:val="0"/>
              <w:adjustRightInd w:val="0"/>
              <w:jc w:val="center"/>
              <w:rPr>
                <w:rFonts w:ascii="Arial" w:hAnsi="Arial" w:cs="Arial"/>
                <w:b/>
                <w:sz w:val="18"/>
                <w:szCs w:val="18"/>
                <w:lang w:val="es-ES"/>
              </w:rPr>
            </w:pPr>
            <w:r w:rsidRPr="00C74525">
              <w:rPr>
                <w:rFonts w:ascii="Arial" w:hAnsi="Arial" w:cs="Arial"/>
                <w:b/>
                <w:sz w:val="18"/>
                <w:szCs w:val="18"/>
                <w:lang w:val="es-ES"/>
              </w:rPr>
              <w:t>2012</w:t>
            </w:r>
          </w:p>
        </w:tc>
        <w:tc>
          <w:tcPr>
            <w:tcW w:w="1134" w:type="dxa"/>
            <w:shd w:val="clear" w:color="auto" w:fill="D9D9D9" w:themeFill="background1" w:themeFillShade="D9"/>
            <w:vAlign w:val="center"/>
          </w:tcPr>
          <w:p w:rsidR="00AA6AB0" w:rsidRPr="00C74525" w:rsidRDefault="00AA6AB0" w:rsidP="00C74525">
            <w:pPr>
              <w:autoSpaceDE w:val="0"/>
              <w:autoSpaceDN w:val="0"/>
              <w:adjustRightInd w:val="0"/>
              <w:jc w:val="center"/>
              <w:rPr>
                <w:rFonts w:ascii="Arial" w:hAnsi="Arial" w:cs="Arial"/>
                <w:b/>
                <w:sz w:val="18"/>
                <w:szCs w:val="18"/>
                <w:lang w:val="es-ES"/>
              </w:rPr>
            </w:pPr>
            <w:r w:rsidRPr="00C74525">
              <w:rPr>
                <w:rFonts w:ascii="Arial" w:hAnsi="Arial" w:cs="Arial"/>
                <w:b/>
                <w:sz w:val="18"/>
                <w:szCs w:val="18"/>
                <w:lang w:val="es-ES"/>
              </w:rPr>
              <w:t>2013</w:t>
            </w:r>
          </w:p>
        </w:tc>
        <w:tc>
          <w:tcPr>
            <w:tcW w:w="1134" w:type="dxa"/>
            <w:shd w:val="clear" w:color="auto" w:fill="D9D9D9" w:themeFill="background1" w:themeFillShade="D9"/>
            <w:vAlign w:val="center"/>
          </w:tcPr>
          <w:p w:rsidR="00AA6AB0" w:rsidRPr="00C74525" w:rsidRDefault="00AA6AB0" w:rsidP="00C74525">
            <w:pPr>
              <w:autoSpaceDE w:val="0"/>
              <w:autoSpaceDN w:val="0"/>
              <w:adjustRightInd w:val="0"/>
              <w:jc w:val="center"/>
              <w:rPr>
                <w:rFonts w:ascii="Arial" w:hAnsi="Arial" w:cs="Arial"/>
                <w:b/>
                <w:sz w:val="18"/>
                <w:szCs w:val="18"/>
                <w:lang w:val="es-ES"/>
              </w:rPr>
            </w:pPr>
            <w:r w:rsidRPr="00C74525">
              <w:rPr>
                <w:rFonts w:ascii="Arial" w:hAnsi="Arial" w:cs="Arial"/>
                <w:b/>
                <w:sz w:val="18"/>
                <w:szCs w:val="18"/>
                <w:lang w:val="es-ES"/>
              </w:rPr>
              <w:t>2014</w:t>
            </w:r>
          </w:p>
        </w:tc>
      </w:tr>
      <w:tr w:rsidR="00AA6AB0" w:rsidRPr="00C74525" w:rsidTr="0089031C">
        <w:trPr>
          <w:cantSplit/>
          <w:jc w:val="center"/>
        </w:trPr>
        <w:tc>
          <w:tcPr>
            <w:tcW w:w="1134" w:type="dxa"/>
            <w:vAlign w:val="center"/>
          </w:tcPr>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A-CO-008</w:t>
            </w:r>
            <w:r w:rsidR="00FF4745" w:rsidRPr="00C74525">
              <w:rPr>
                <w:rFonts w:ascii="Arial" w:hAnsi="Arial" w:cs="Arial"/>
                <w:sz w:val="18"/>
                <w:szCs w:val="18"/>
                <w:lang w:val="en-US"/>
              </w:rPr>
              <w:t xml:space="preserve"> </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A-CO-011</w:t>
            </w:r>
            <w:r w:rsidR="00FF4745" w:rsidRPr="00C74525">
              <w:rPr>
                <w:rFonts w:ascii="Arial" w:hAnsi="Arial" w:cs="Arial"/>
                <w:sz w:val="18"/>
                <w:szCs w:val="18"/>
                <w:lang w:val="en-US"/>
              </w:rPr>
              <w:t xml:space="preserve"> </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M-CO-002</w:t>
            </w:r>
            <w:r w:rsidR="00FF4745" w:rsidRPr="00C74525">
              <w:rPr>
                <w:rFonts w:ascii="Arial" w:hAnsi="Arial" w:cs="Arial"/>
                <w:sz w:val="18"/>
                <w:szCs w:val="18"/>
                <w:lang w:val="en-US"/>
              </w:rPr>
              <w:t xml:space="preserve"> </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M-CO-077</w:t>
            </w:r>
            <w:r w:rsidR="00FF4745" w:rsidRPr="00C74525">
              <w:rPr>
                <w:rFonts w:ascii="Arial" w:hAnsi="Arial" w:cs="Arial"/>
                <w:sz w:val="18"/>
                <w:szCs w:val="18"/>
                <w:lang w:val="en-US"/>
              </w:rPr>
              <w:t xml:space="preserve"> </w:t>
            </w:r>
          </w:p>
          <w:p w:rsidR="00FF4745" w:rsidRPr="00C74525" w:rsidRDefault="00AA6AB0" w:rsidP="00C74525">
            <w:pPr>
              <w:autoSpaceDE w:val="0"/>
              <w:autoSpaceDN w:val="0"/>
              <w:adjustRightInd w:val="0"/>
              <w:jc w:val="left"/>
              <w:rPr>
                <w:rFonts w:ascii="Arial" w:hAnsi="Arial" w:cs="Arial"/>
                <w:sz w:val="18"/>
                <w:szCs w:val="18"/>
                <w:lang w:val="es-ES"/>
              </w:rPr>
            </w:pPr>
            <w:r w:rsidRPr="00C74525">
              <w:rPr>
                <w:rFonts w:ascii="Arial" w:hAnsi="Arial" w:cs="Arial"/>
                <w:sz w:val="18"/>
                <w:szCs w:val="18"/>
                <w:lang w:val="es-ES"/>
              </w:rPr>
              <w:t>M-CO-079</w:t>
            </w:r>
            <w:r w:rsidR="00FF4745" w:rsidRPr="00C74525">
              <w:rPr>
                <w:rFonts w:ascii="Arial" w:hAnsi="Arial" w:cs="Arial"/>
                <w:sz w:val="18"/>
                <w:szCs w:val="18"/>
                <w:lang w:val="es-ES"/>
              </w:rPr>
              <w:t xml:space="preserve"> </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M-CO-080</w:t>
            </w:r>
          </w:p>
        </w:tc>
        <w:tc>
          <w:tcPr>
            <w:tcW w:w="1134" w:type="dxa"/>
            <w:vAlign w:val="center"/>
          </w:tcPr>
          <w:p w:rsidR="00AA6AB0" w:rsidRPr="00C74525" w:rsidRDefault="00AA6AB0" w:rsidP="00C74525">
            <w:pPr>
              <w:autoSpaceDE w:val="0"/>
              <w:autoSpaceDN w:val="0"/>
              <w:adjustRightInd w:val="0"/>
              <w:jc w:val="left"/>
              <w:rPr>
                <w:rFonts w:ascii="Arial" w:hAnsi="Arial" w:cs="Arial"/>
                <w:sz w:val="18"/>
                <w:szCs w:val="18"/>
                <w:lang w:val="es-ES"/>
              </w:rPr>
            </w:pPr>
            <w:r w:rsidRPr="00C74525">
              <w:rPr>
                <w:rFonts w:ascii="Arial" w:hAnsi="Arial" w:cs="Arial"/>
                <w:sz w:val="18"/>
                <w:szCs w:val="18"/>
                <w:lang w:val="es-ES"/>
              </w:rPr>
              <w:t xml:space="preserve">A-FO-240 </w:t>
            </w:r>
          </w:p>
        </w:tc>
        <w:tc>
          <w:tcPr>
            <w:tcW w:w="1134" w:type="dxa"/>
            <w:vAlign w:val="center"/>
          </w:tcPr>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E-PD-015</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M-FO-120</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M-PD-061</w:t>
            </w:r>
          </w:p>
        </w:tc>
        <w:tc>
          <w:tcPr>
            <w:tcW w:w="1134" w:type="dxa"/>
            <w:vAlign w:val="center"/>
          </w:tcPr>
          <w:p w:rsidR="00AA6AB0" w:rsidRPr="00C74525" w:rsidRDefault="00AA6AB0" w:rsidP="00C74525">
            <w:pPr>
              <w:autoSpaceDE w:val="0"/>
              <w:autoSpaceDN w:val="0"/>
              <w:adjustRightInd w:val="0"/>
              <w:jc w:val="left"/>
              <w:rPr>
                <w:rFonts w:ascii="Arial" w:hAnsi="Arial" w:cs="Arial"/>
                <w:sz w:val="18"/>
                <w:szCs w:val="18"/>
                <w:lang w:val="es-ES"/>
              </w:rPr>
            </w:pPr>
            <w:r w:rsidRPr="00C74525">
              <w:rPr>
                <w:rFonts w:ascii="Arial" w:hAnsi="Arial" w:cs="Arial"/>
                <w:sz w:val="18"/>
                <w:szCs w:val="18"/>
                <w:lang w:val="es-ES"/>
              </w:rPr>
              <w:t>A-PD-126</w:t>
            </w:r>
          </w:p>
          <w:p w:rsidR="00AA6AB0" w:rsidRPr="00C74525" w:rsidRDefault="00AA6AB0" w:rsidP="00C74525">
            <w:pPr>
              <w:autoSpaceDE w:val="0"/>
              <w:autoSpaceDN w:val="0"/>
              <w:adjustRightInd w:val="0"/>
              <w:jc w:val="left"/>
              <w:rPr>
                <w:rFonts w:ascii="Arial" w:hAnsi="Arial" w:cs="Arial"/>
                <w:sz w:val="18"/>
                <w:szCs w:val="18"/>
                <w:lang w:val="es-ES"/>
              </w:rPr>
            </w:pPr>
            <w:r w:rsidRPr="00C74525">
              <w:rPr>
                <w:rFonts w:ascii="Arial" w:hAnsi="Arial" w:cs="Arial"/>
                <w:sz w:val="18"/>
                <w:szCs w:val="18"/>
                <w:lang w:val="es-ES"/>
              </w:rPr>
              <w:t>A-PD-145</w:t>
            </w:r>
          </w:p>
          <w:p w:rsidR="00AA6AB0" w:rsidRPr="00C74525" w:rsidRDefault="00AA6AB0" w:rsidP="00C74525">
            <w:pPr>
              <w:autoSpaceDE w:val="0"/>
              <w:autoSpaceDN w:val="0"/>
              <w:adjustRightInd w:val="0"/>
              <w:jc w:val="left"/>
              <w:rPr>
                <w:rFonts w:ascii="Arial" w:hAnsi="Arial" w:cs="Arial"/>
                <w:sz w:val="18"/>
                <w:szCs w:val="18"/>
                <w:lang w:val="es-ES"/>
              </w:rPr>
            </w:pPr>
            <w:r w:rsidRPr="00C74525">
              <w:rPr>
                <w:rFonts w:ascii="Arial" w:hAnsi="Arial" w:cs="Arial"/>
                <w:sz w:val="18"/>
                <w:szCs w:val="18"/>
                <w:lang w:val="es-ES"/>
              </w:rPr>
              <w:t>A-PD-160</w:t>
            </w:r>
          </w:p>
          <w:p w:rsidR="00AA6AB0" w:rsidRPr="00C74525" w:rsidRDefault="00AA6AB0" w:rsidP="00C74525">
            <w:pPr>
              <w:autoSpaceDE w:val="0"/>
              <w:autoSpaceDN w:val="0"/>
              <w:adjustRightInd w:val="0"/>
              <w:jc w:val="left"/>
              <w:rPr>
                <w:rFonts w:ascii="Arial" w:hAnsi="Arial" w:cs="Arial"/>
                <w:sz w:val="18"/>
                <w:szCs w:val="18"/>
                <w:lang w:val="en-US"/>
              </w:rPr>
            </w:pPr>
            <w:r w:rsidRPr="00C74525">
              <w:rPr>
                <w:rFonts w:ascii="Arial" w:hAnsi="Arial" w:cs="Arial"/>
                <w:sz w:val="18"/>
                <w:szCs w:val="18"/>
                <w:lang w:val="en-US"/>
              </w:rPr>
              <w:t>M-PD-162</w:t>
            </w:r>
          </w:p>
        </w:tc>
      </w:tr>
    </w:tbl>
    <w:p w:rsidR="00AA6AB0" w:rsidRPr="00C74525" w:rsidRDefault="002C0CE7" w:rsidP="00C74525">
      <w:pPr>
        <w:autoSpaceDE w:val="0"/>
        <w:autoSpaceDN w:val="0"/>
        <w:adjustRightInd w:val="0"/>
        <w:jc w:val="center"/>
        <w:rPr>
          <w:rFonts w:cs="Arial"/>
          <w:sz w:val="22"/>
          <w:szCs w:val="22"/>
          <w:lang w:val="es-ES"/>
        </w:rPr>
      </w:pPr>
      <w:r w:rsidRPr="00C74525">
        <w:rPr>
          <w:rFonts w:cs="Arial"/>
          <w:sz w:val="18"/>
          <w:szCs w:val="18"/>
          <w:lang w:val="es-ES"/>
        </w:rPr>
        <w:t>Fuente: Módulo de documentos del aplicativo</w:t>
      </w:r>
      <w:r w:rsidR="000F3347" w:rsidRPr="00C74525">
        <w:rPr>
          <w:rFonts w:cs="Arial"/>
          <w:sz w:val="18"/>
          <w:szCs w:val="18"/>
          <w:lang w:val="es-ES"/>
        </w:rPr>
        <w:t xml:space="preserve"> SIPA.</w:t>
      </w:r>
    </w:p>
    <w:p w:rsidR="00AA6AB0" w:rsidRPr="00C74525" w:rsidRDefault="00AA6AB0" w:rsidP="00C74525">
      <w:pPr>
        <w:autoSpaceDE w:val="0"/>
        <w:autoSpaceDN w:val="0"/>
        <w:adjustRightInd w:val="0"/>
        <w:rPr>
          <w:rFonts w:cs="Arial"/>
          <w:sz w:val="22"/>
          <w:szCs w:val="22"/>
          <w:lang w:val="es-ES"/>
        </w:rPr>
      </w:pPr>
    </w:p>
    <w:p w:rsidR="005212C5" w:rsidRPr="00C74525" w:rsidRDefault="00270243" w:rsidP="00C74525">
      <w:pPr>
        <w:autoSpaceDE w:val="0"/>
        <w:autoSpaceDN w:val="0"/>
        <w:adjustRightInd w:val="0"/>
        <w:rPr>
          <w:rFonts w:cs="Arial"/>
          <w:sz w:val="22"/>
          <w:szCs w:val="22"/>
          <w:lang w:val="es-ES"/>
        </w:rPr>
      </w:pPr>
      <w:r w:rsidRPr="00C74525">
        <w:rPr>
          <w:rFonts w:cs="Arial"/>
          <w:sz w:val="22"/>
          <w:szCs w:val="22"/>
          <w:lang w:val="es-ES"/>
        </w:rPr>
        <w:t>En</w:t>
      </w:r>
      <w:r w:rsidR="005F1464" w:rsidRPr="00C74525">
        <w:rPr>
          <w:rFonts w:cs="Arial"/>
          <w:sz w:val="22"/>
          <w:szCs w:val="22"/>
          <w:lang w:val="es-ES"/>
        </w:rPr>
        <w:t xml:space="preserve"> los documentos señalados</w:t>
      </w:r>
      <w:r w:rsidRPr="00C74525">
        <w:rPr>
          <w:rFonts w:cs="Arial"/>
          <w:sz w:val="22"/>
          <w:szCs w:val="22"/>
          <w:lang w:val="es-ES"/>
        </w:rPr>
        <w:t xml:space="preserve"> en la tabla anterior</w:t>
      </w:r>
      <w:r w:rsidR="005F1464" w:rsidRPr="00C74525">
        <w:rPr>
          <w:rFonts w:cs="Arial"/>
          <w:sz w:val="22"/>
          <w:szCs w:val="22"/>
          <w:lang w:val="es-ES"/>
        </w:rPr>
        <w:t>, algunos incumplen el lineamiento dado por la Dirección de Planeación mediante el radicado 3-2016-01148 de enero 27 de 2016</w:t>
      </w:r>
      <w:r w:rsidRPr="00C74525">
        <w:rPr>
          <w:rFonts w:cs="Arial"/>
          <w:sz w:val="22"/>
          <w:szCs w:val="22"/>
          <w:lang w:val="es-ES"/>
        </w:rPr>
        <w:t xml:space="preserve"> relacionado con el cambio en el logo de administración</w:t>
      </w:r>
      <w:r w:rsidR="005F1464" w:rsidRPr="00C74525">
        <w:rPr>
          <w:rFonts w:cs="Arial"/>
          <w:sz w:val="22"/>
          <w:szCs w:val="22"/>
          <w:lang w:val="es-ES"/>
        </w:rPr>
        <w:t>, no obstante</w:t>
      </w:r>
      <w:r w:rsidR="005212C5" w:rsidRPr="00C74525">
        <w:rPr>
          <w:rFonts w:cs="Arial"/>
          <w:sz w:val="22"/>
          <w:szCs w:val="22"/>
          <w:lang w:val="es-ES"/>
        </w:rPr>
        <w:t xml:space="preserve">, la actualización documental no debería obedecer </w:t>
      </w:r>
      <w:r w:rsidR="00D921BF">
        <w:rPr>
          <w:rFonts w:cs="Arial"/>
          <w:sz w:val="22"/>
          <w:szCs w:val="22"/>
          <w:lang w:val="es-ES"/>
        </w:rPr>
        <w:t xml:space="preserve">exclusivamente </w:t>
      </w:r>
      <w:r w:rsidR="005212C5" w:rsidRPr="00C74525">
        <w:rPr>
          <w:rFonts w:cs="Arial"/>
          <w:sz w:val="22"/>
          <w:szCs w:val="22"/>
          <w:lang w:val="es-ES"/>
        </w:rPr>
        <w:t>a</w:t>
      </w:r>
      <w:r w:rsidRPr="00C74525">
        <w:rPr>
          <w:rFonts w:cs="Arial"/>
          <w:sz w:val="22"/>
          <w:szCs w:val="22"/>
          <w:lang w:val="es-ES"/>
        </w:rPr>
        <w:t xml:space="preserve"> dicha condición</w:t>
      </w:r>
      <w:r w:rsidR="005212C5" w:rsidRPr="00C74525">
        <w:rPr>
          <w:rFonts w:cs="Arial"/>
          <w:sz w:val="22"/>
          <w:szCs w:val="22"/>
          <w:lang w:val="es-ES"/>
        </w:rPr>
        <w:t>, sino a una cultura permanente de revisión y ajuste</w:t>
      </w:r>
      <w:r w:rsidR="00263BC9" w:rsidRPr="00C74525">
        <w:rPr>
          <w:rFonts w:cs="Arial"/>
          <w:sz w:val="22"/>
          <w:szCs w:val="22"/>
          <w:lang w:val="es-ES"/>
        </w:rPr>
        <w:t xml:space="preserve">, </w:t>
      </w:r>
      <w:r w:rsidR="005F1464" w:rsidRPr="00C74525">
        <w:rPr>
          <w:rFonts w:cs="Arial"/>
          <w:sz w:val="22"/>
          <w:szCs w:val="22"/>
          <w:lang w:val="es-ES"/>
        </w:rPr>
        <w:t xml:space="preserve">por lo cual </w:t>
      </w:r>
      <w:r w:rsidR="005212C5" w:rsidRPr="00C74525">
        <w:rPr>
          <w:rFonts w:cs="Arial"/>
          <w:sz w:val="22"/>
          <w:szCs w:val="22"/>
          <w:lang w:val="es-ES"/>
        </w:rPr>
        <w:t xml:space="preserve">es pertinente revisar también </w:t>
      </w:r>
      <w:r w:rsidR="005F1464" w:rsidRPr="00C74525">
        <w:rPr>
          <w:rFonts w:cs="Arial"/>
          <w:sz w:val="22"/>
          <w:szCs w:val="22"/>
          <w:lang w:val="es-ES"/>
        </w:rPr>
        <w:t>el</w:t>
      </w:r>
      <w:r w:rsidR="005212C5" w:rsidRPr="00C74525">
        <w:rPr>
          <w:rFonts w:cs="Arial"/>
          <w:sz w:val="22"/>
          <w:szCs w:val="22"/>
          <w:lang w:val="es-ES"/>
        </w:rPr>
        <w:t xml:space="preserve"> contenido</w:t>
      </w:r>
      <w:r w:rsidR="005F1464" w:rsidRPr="00C74525">
        <w:rPr>
          <w:rFonts w:cs="Arial"/>
          <w:sz w:val="22"/>
          <w:szCs w:val="22"/>
          <w:lang w:val="es-ES"/>
        </w:rPr>
        <w:t xml:space="preserve"> de los documentos</w:t>
      </w:r>
      <w:r w:rsidR="005212C5" w:rsidRPr="00C74525">
        <w:rPr>
          <w:rFonts w:cs="Arial"/>
          <w:sz w:val="22"/>
          <w:szCs w:val="22"/>
          <w:lang w:val="es-ES"/>
        </w:rPr>
        <w:t>.</w:t>
      </w:r>
    </w:p>
    <w:p w:rsidR="005212C5" w:rsidRPr="00C74525" w:rsidRDefault="005212C5" w:rsidP="00C74525">
      <w:pPr>
        <w:autoSpaceDE w:val="0"/>
        <w:autoSpaceDN w:val="0"/>
        <w:adjustRightInd w:val="0"/>
        <w:rPr>
          <w:rFonts w:cs="Arial"/>
          <w:sz w:val="22"/>
          <w:szCs w:val="22"/>
          <w:lang w:val="es-ES"/>
        </w:rPr>
      </w:pPr>
    </w:p>
    <w:p w:rsidR="001B4E3A" w:rsidRPr="00C74525" w:rsidRDefault="001B4E3A" w:rsidP="00C74525">
      <w:pPr>
        <w:rPr>
          <w:rFonts w:cs="Arial"/>
          <w:sz w:val="22"/>
          <w:szCs w:val="22"/>
        </w:rPr>
      </w:pPr>
      <w:r w:rsidRPr="00C74525">
        <w:rPr>
          <w:rFonts w:cs="Arial"/>
          <w:sz w:val="22"/>
          <w:szCs w:val="22"/>
        </w:rPr>
        <w:t xml:space="preserve">En cuanto a la información que sobre la materia se publica en la página Web de la entidad, en el vínculo </w:t>
      </w:r>
      <w:hyperlink r:id="rId9" w:history="1">
        <w:r w:rsidRPr="00C74525">
          <w:rPr>
            <w:rStyle w:val="Hipervnculo"/>
            <w:rFonts w:cs="Arial"/>
            <w:color w:val="auto"/>
            <w:sz w:val="22"/>
            <w:szCs w:val="22"/>
          </w:rPr>
          <w:t>http://www.sdp.gov.co/transparencia/estructura-organizacion/procesos-y-procedimientos</w:t>
        </w:r>
      </w:hyperlink>
      <w:r w:rsidRPr="00C74525">
        <w:rPr>
          <w:rFonts w:cs="Arial"/>
          <w:sz w:val="22"/>
          <w:szCs w:val="22"/>
        </w:rPr>
        <w:t>, es de señalar que en dicho sitio se cuenta con un listado de procesos y otro de procedimientos</w:t>
      </w:r>
      <w:r w:rsidR="00270243" w:rsidRPr="00C74525">
        <w:rPr>
          <w:rFonts w:cs="Arial"/>
          <w:sz w:val="22"/>
          <w:szCs w:val="22"/>
        </w:rPr>
        <w:t>.</w:t>
      </w:r>
    </w:p>
    <w:p w:rsidR="00134E0E" w:rsidRPr="00C74525" w:rsidRDefault="00134E0E" w:rsidP="00C74525">
      <w:pPr>
        <w:rPr>
          <w:rFonts w:cs="Arial"/>
          <w:sz w:val="22"/>
          <w:szCs w:val="22"/>
        </w:rPr>
      </w:pPr>
    </w:p>
    <w:p w:rsidR="00D37E87" w:rsidRPr="00C74525" w:rsidRDefault="00D37E87"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6" w:name="_Toc13141907"/>
      <w:r w:rsidRPr="00C74525">
        <w:rPr>
          <w:rFonts w:ascii="Arial" w:hAnsi="Arial" w:cs="Arial"/>
          <w:color w:val="auto"/>
          <w:sz w:val="22"/>
          <w:szCs w:val="22"/>
        </w:rPr>
        <w:t>Actividades del PHVA</w:t>
      </w:r>
      <w:bookmarkEnd w:id="6"/>
    </w:p>
    <w:p w:rsidR="00D37E87" w:rsidRPr="00C74525" w:rsidRDefault="00D37E87" w:rsidP="00C74525">
      <w:pPr>
        <w:rPr>
          <w:rFonts w:cs="Arial"/>
          <w:sz w:val="22"/>
          <w:szCs w:val="22"/>
        </w:rPr>
      </w:pPr>
    </w:p>
    <w:p w:rsidR="0092077B" w:rsidRPr="00C74525" w:rsidRDefault="0092077B" w:rsidP="00C74525">
      <w:pPr>
        <w:rPr>
          <w:rFonts w:cs="Arial"/>
          <w:sz w:val="22"/>
          <w:szCs w:val="22"/>
        </w:rPr>
      </w:pPr>
      <w:r w:rsidRPr="00C74525">
        <w:rPr>
          <w:rFonts w:cs="Arial"/>
          <w:sz w:val="22"/>
          <w:szCs w:val="22"/>
        </w:rPr>
        <w:t xml:space="preserve">Como producto de las caracterizaciones de proceso, actualmente la entidad cuenta con un </w:t>
      </w:r>
      <w:r w:rsidR="00AD5C38" w:rsidRPr="00C74525">
        <w:rPr>
          <w:rFonts w:cs="Arial"/>
          <w:sz w:val="22"/>
          <w:szCs w:val="22"/>
        </w:rPr>
        <w:t>total de 372</w:t>
      </w:r>
      <w:r w:rsidRPr="00C74525">
        <w:rPr>
          <w:rFonts w:cs="Arial"/>
          <w:sz w:val="22"/>
          <w:szCs w:val="22"/>
        </w:rPr>
        <w:t xml:space="preserve"> actividades asociadas al ciclo PHVA, </w:t>
      </w:r>
      <w:r w:rsidR="00B37E94" w:rsidRPr="00C74525">
        <w:rPr>
          <w:rFonts w:cs="Arial"/>
          <w:sz w:val="22"/>
          <w:szCs w:val="22"/>
        </w:rPr>
        <w:t xml:space="preserve">distribuidas </w:t>
      </w:r>
      <w:r w:rsidRPr="00C74525">
        <w:rPr>
          <w:rFonts w:cs="Arial"/>
          <w:sz w:val="22"/>
          <w:szCs w:val="22"/>
        </w:rPr>
        <w:t>como se muestra a continuación:</w:t>
      </w:r>
    </w:p>
    <w:p w:rsidR="00AD5C38" w:rsidRPr="00C74525" w:rsidRDefault="00AD5C38" w:rsidP="00C74525">
      <w:pPr>
        <w:rPr>
          <w:rFonts w:cs="Arial"/>
          <w:sz w:val="22"/>
          <w:szCs w:val="22"/>
        </w:rPr>
      </w:pPr>
    </w:p>
    <w:p w:rsidR="00AD5C38" w:rsidRPr="00C74525" w:rsidRDefault="00444803" w:rsidP="00C74525">
      <w:pPr>
        <w:shd w:val="clear" w:color="auto" w:fill="FFFFFF"/>
        <w:jc w:val="center"/>
        <w:rPr>
          <w:rFonts w:cs="Arial"/>
          <w:sz w:val="18"/>
          <w:szCs w:val="18"/>
          <w:lang w:val="es-ES"/>
        </w:rPr>
      </w:pPr>
      <w:r w:rsidRPr="00C74525">
        <w:rPr>
          <w:rFonts w:cs="Arial"/>
          <w:sz w:val="18"/>
          <w:szCs w:val="18"/>
          <w:lang w:val="es-ES"/>
        </w:rPr>
        <w:t>Gráfico 2</w:t>
      </w:r>
      <w:r w:rsidR="00AD5C38" w:rsidRPr="00C74525">
        <w:rPr>
          <w:rFonts w:cs="Arial"/>
          <w:sz w:val="18"/>
          <w:szCs w:val="18"/>
          <w:lang w:val="es-ES"/>
        </w:rPr>
        <w:t xml:space="preserve">: Cantidad de actividades en el </w:t>
      </w:r>
      <w:r w:rsidR="002E3D57" w:rsidRPr="00C74525">
        <w:rPr>
          <w:rFonts w:cs="Arial"/>
          <w:sz w:val="18"/>
          <w:szCs w:val="18"/>
          <w:lang w:val="es-ES"/>
        </w:rPr>
        <w:t xml:space="preserve">ciclo </w:t>
      </w:r>
      <w:r w:rsidR="00AD5C38" w:rsidRPr="00C74525">
        <w:rPr>
          <w:rFonts w:cs="Arial"/>
          <w:sz w:val="18"/>
          <w:szCs w:val="18"/>
          <w:lang w:val="es-ES"/>
        </w:rPr>
        <w:t>PHVA.</w:t>
      </w:r>
    </w:p>
    <w:p w:rsidR="00AD5C38" w:rsidRPr="00C74525" w:rsidRDefault="00AD5C38" w:rsidP="00C74525">
      <w:pPr>
        <w:jc w:val="center"/>
        <w:rPr>
          <w:rFonts w:cs="Arial"/>
          <w:sz w:val="22"/>
          <w:szCs w:val="22"/>
        </w:rPr>
      </w:pPr>
      <w:r w:rsidRPr="00C74525">
        <w:rPr>
          <w:rFonts w:cs="Arial"/>
          <w:noProof/>
          <w:sz w:val="22"/>
          <w:szCs w:val="22"/>
          <w:lang w:val="es-ES" w:eastAsia="es-ES"/>
        </w:rPr>
        <w:drawing>
          <wp:inline distT="0" distB="0" distL="0" distR="0">
            <wp:extent cx="3111011" cy="1679331"/>
            <wp:effectExtent l="19050" t="0" r="13189"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44AB4" w:rsidRPr="00C74525" w:rsidRDefault="00644AB4" w:rsidP="00C74525">
      <w:pPr>
        <w:autoSpaceDE w:val="0"/>
        <w:autoSpaceDN w:val="0"/>
        <w:adjustRightInd w:val="0"/>
        <w:jc w:val="center"/>
        <w:rPr>
          <w:rFonts w:cs="Arial"/>
          <w:sz w:val="22"/>
          <w:szCs w:val="22"/>
          <w:lang w:val="es-ES"/>
        </w:rPr>
      </w:pPr>
      <w:r w:rsidRPr="00C74525">
        <w:rPr>
          <w:rFonts w:cs="Arial"/>
          <w:sz w:val="18"/>
          <w:szCs w:val="18"/>
          <w:lang w:val="es-ES"/>
        </w:rPr>
        <w:t>Fuente: Módulo de documentos del aplicativo SIPA.</w:t>
      </w:r>
    </w:p>
    <w:p w:rsidR="00825019" w:rsidRPr="00C74525" w:rsidRDefault="00825019" w:rsidP="00C74525">
      <w:pPr>
        <w:rPr>
          <w:rFonts w:cs="Arial"/>
          <w:sz w:val="22"/>
          <w:szCs w:val="22"/>
          <w:lang w:val="es-ES"/>
        </w:rPr>
      </w:pPr>
    </w:p>
    <w:p w:rsidR="006C6502" w:rsidRPr="00C74525" w:rsidRDefault="008F580A" w:rsidP="00C74525">
      <w:pPr>
        <w:rPr>
          <w:rFonts w:cs="Arial"/>
          <w:sz w:val="22"/>
          <w:szCs w:val="22"/>
          <w:lang w:val="es-ES"/>
        </w:rPr>
      </w:pPr>
      <w:r w:rsidRPr="00C74525">
        <w:rPr>
          <w:rFonts w:cs="Arial"/>
          <w:sz w:val="22"/>
          <w:szCs w:val="22"/>
          <w:lang w:val="es-ES"/>
        </w:rPr>
        <w:t>Es de resaltar que t</w:t>
      </w:r>
      <w:r w:rsidR="006C6502" w:rsidRPr="00C74525">
        <w:rPr>
          <w:rFonts w:cs="Arial"/>
          <w:sz w:val="22"/>
          <w:szCs w:val="22"/>
          <w:lang w:val="es-ES"/>
        </w:rPr>
        <w:t>odos los procesos han identificado acciones en las 4 etapas del ciclo.</w:t>
      </w:r>
    </w:p>
    <w:p w:rsidR="006C6502" w:rsidRPr="00C74525" w:rsidRDefault="006C6502" w:rsidP="00C74525">
      <w:pPr>
        <w:rPr>
          <w:rFonts w:cs="Arial"/>
          <w:sz w:val="22"/>
          <w:szCs w:val="22"/>
          <w:lang w:val="es-ES"/>
        </w:rPr>
      </w:pPr>
    </w:p>
    <w:p w:rsidR="0097613D" w:rsidRPr="00C74525" w:rsidRDefault="0097613D" w:rsidP="00C74525">
      <w:pPr>
        <w:pStyle w:val="Ttulo1"/>
        <w:numPr>
          <w:ilvl w:val="1"/>
          <w:numId w:val="4"/>
        </w:numPr>
        <w:tabs>
          <w:tab w:val="clear" w:pos="720"/>
          <w:tab w:val="num" w:pos="284"/>
          <w:tab w:val="num" w:pos="567"/>
        </w:tabs>
        <w:spacing w:before="0"/>
        <w:ind w:left="0" w:firstLine="0"/>
        <w:rPr>
          <w:rFonts w:ascii="Arial" w:hAnsi="Arial" w:cs="Arial"/>
          <w:color w:val="auto"/>
          <w:sz w:val="22"/>
          <w:szCs w:val="22"/>
        </w:rPr>
      </w:pPr>
      <w:bookmarkStart w:id="7" w:name="_Toc13141908"/>
      <w:r w:rsidRPr="00C74525">
        <w:rPr>
          <w:rFonts w:ascii="Arial" w:hAnsi="Arial" w:cs="Arial"/>
          <w:color w:val="auto"/>
          <w:sz w:val="22"/>
          <w:szCs w:val="22"/>
        </w:rPr>
        <w:t>Herramientas tecnológicas</w:t>
      </w:r>
      <w:bookmarkEnd w:id="7"/>
    </w:p>
    <w:p w:rsidR="0097613D" w:rsidRPr="00C74525" w:rsidRDefault="0097613D" w:rsidP="00C74525">
      <w:pPr>
        <w:rPr>
          <w:rFonts w:cs="Arial"/>
          <w:sz w:val="22"/>
          <w:szCs w:val="22"/>
        </w:rPr>
      </w:pPr>
    </w:p>
    <w:p w:rsidR="0097613D" w:rsidRPr="00C74525" w:rsidRDefault="0097613D" w:rsidP="00C74525">
      <w:pPr>
        <w:rPr>
          <w:rFonts w:cs="Arial"/>
          <w:sz w:val="22"/>
          <w:szCs w:val="22"/>
        </w:rPr>
      </w:pPr>
      <w:r w:rsidRPr="00C74525">
        <w:rPr>
          <w:rFonts w:cs="Arial"/>
          <w:sz w:val="22"/>
          <w:szCs w:val="22"/>
        </w:rPr>
        <w:t>En lo</w:t>
      </w:r>
      <w:r w:rsidR="00240262" w:rsidRPr="00C74525">
        <w:rPr>
          <w:rFonts w:cs="Arial"/>
          <w:sz w:val="22"/>
          <w:szCs w:val="22"/>
        </w:rPr>
        <w:t xml:space="preserve"> corrido de 2019</w:t>
      </w:r>
      <w:r w:rsidRPr="00C74525">
        <w:rPr>
          <w:rFonts w:cs="Arial"/>
          <w:sz w:val="22"/>
          <w:szCs w:val="22"/>
        </w:rPr>
        <w:t xml:space="preserve">, el Sistema Integrado de Gestión de la SDP ha sido </w:t>
      </w:r>
      <w:r w:rsidR="00143DBD" w:rsidRPr="00C74525">
        <w:rPr>
          <w:rFonts w:cs="Arial"/>
          <w:sz w:val="22"/>
          <w:szCs w:val="22"/>
        </w:rPr>
        <w:t xml:space="preserve">gestionado </w:t>
      </w:r>
      <w:r w:rsidRPr="00C74525">
        <w:rPr>
          <w:rFonts w:cs="Arial"/>
          <w:sz w:val="22"/>
          <w:szCs w:val="22"/>
        </w:rPr>
        <w:t>por dos medios tecnológicos:</w:t>
      </w:r>
    </w:p>
    <w:p w:rsidR="0097613D" w:rsidRPr="00C74525" w:rsidRDefault="0097613D" w:rsidP="00C74525">
      <w:pPr>
        <w:rPr>
          <w:rFonts w:cs="Arial"/>
          <w:sz w:val="22"/>
          <w:szCs w:val="22"/>
        </w:rPr>
      </w:pPr>
    </w:p>
    <w:p w:rsidR="0097613D" w:rsidRPr="00C74525" w:rsidRDefault="0097613D" w:rsidP="00C74525">
      <w:pPr>
        <w:pStyle w:val="Prrafodelista"/>
        <w:numPr>
          <w:ilvl w:val="0"/>
          <w:numId w:val="2"/>
        </w:numPr>
        <w:ind w:left="426" w:hanging="426"/>
        <w:rPr>
          <w:rFonts w:cs="Arial"/>
          <w:sz w:val="22"/>
          <w:szCs w:val="22"/>
        </w:rPr>
      </w:pPr>
      <w:r w:rsidRPr="00C74525">
        <w:rPr>
          <w:rFonts w:cs="Arial"/>
          <w:sz w:val="22"/>
          <w:szCs w:val="22"/>
        </w:rPr>
        <w:t>Herramienta SIIP: mecanismo construido en Access por la Dirección de Planeación.</w:t>
      </w:r>
    </w:p>
    <w:p w:rsidR="0097613D" w:rsidRPr="00C74525" w:rsidRDefault="0097613D" w:rsidP="00C74525">
      <w:pPr>
        <w:pStyle w:val="Prrafodelista"/>
        <w:numPr>
          <w:ilvl w:val="0"/>
          <w:numId w:val="2"/>
        </w:numPr>
        <w:ind w:left="426" w:hanging="426"/>
        <w:rPr>
          <w:rFonts w:cs="Arial"/>
          <w:sz w:val="22"/>
          <w:szCs w:val="22"/>
        </w:rPr>
      </w:pPr>
      <w:r w:rsidRPr="00C74525">
        <w:rPr>
          <w:rFonts w:cs="Arial"/>
          <w:sz w:val="22"/>
          <w:szCs w:val="22"/>
        </w:rPr>
        <w:t>Aplicativo SIPA: solución tecnológica construida en Oracle.</w:t>
      </w:r>
    </w:p>
    <w:p w:rsidR="0097613D" w:rsidRPr="00C74525" w:rsidRDefault="0097613D" w:rsidP="00C74525">
      <w:pPr>
        <w:rPr>
          <w:rFonts w:cs="Arial"/>
          <w:sz w:val="22"/>
          <w:szCs w:val="22"/>
        </w:rPr>
      </w:pPr>
    </w:p>
    <w:p w:rsidR="0097613D" w:rsidRPr="00C74525" w:rsidRDefault="0097613D" w:rsidP="00C74525">
      <w:pPr>
        <w:rPr>
          <w:rFonts w:cs="Arial"/>
          <w:sz w:val="22"/>
          <w:szCs w:val="22"/>
        </w:rPr>
      </w:pPr>
      <w:r w:rsidRPr="00C74525">
        <w:rPr>
          <w:rFonts w:cs="Arial"/>
          <w:sz w:val="22"/>
          <w:szCs w:val="22"/>
        </w:rPr>
        <w:t>Ambas herramientas consolidan desde hace algunos años la información relacionada con el Sistema Integrado de Gestión de la SDP, entre la que se cuenta: documentos, planes de mejoramiento, riesgos, indicadores, etc. Así mismo, ambas han sido objeto de ajustes y mejoras permanentes.</w:t>
      </w:r>
    </w:p>
    <w:p w:rsidR="002E3D57" w:rsidRPr="00C74525" w:rsidRDefault="002E3D57" w:rsidP="00C74525">
      <w:pPr>
        <w:rPr>
          <w:rFonts w:cs="Arial"/>
          <w:sz w:val="22"/>
          <w:szCs w:val="22"/>
        </w:rPr>
      </w:pPr>
    </w:p>
    <w:p w:rsidR="002E3D57" w:rsidRPr="00C74525" w:rsidRDefault="002E3D57" w:rsidP="00C74525">
      <w:pPr>
        <w:rPr>
          <w:rFonts w:cs="Arial"/>
          <w:sz w:val="22"/>
          <w:szCs w:val="22"/>
        </w:rPr>
      </w:pPr>
      <w:r w:rsidRPr="00C74525">
        <w:rPr>
          <w:rFonts w:cs="Arial"/>
          <w:sz w:val="22"/>
          <w:szCs w:val="22"/>
        </w:rPr>
        <w:lastRenderedPageBreak/>
        <w:t xml:space="preserve">Es de resaltar la puesta en producción del Sistema de Información para la Planeación y Gestión-SIPG, aplicativo que fue socializado en junio de 2019 y que empezará </w:t>
      </w:r>
      <w:r w:rsidR="00C117BD" w:rsidRPr="00C74525">
        <w:rPr>
          <w:rFonts w:cs="Arial"/>
          <w:sz w:val="22"/>
          <w:szCs w:val="22"/>
        </w:rPr>
        <w:t>a ser utilizado</w:t>
      </w:r>
      <w:r w:rsidRPr="00C74525">
        <w:rPr>
          <w:rFonts w:cs="Arial"/>
          <w:sz w:val="22"/>
          <w:szCs w:val="22"/>
        </w:rPr>
        <w:t xml:space="preserve"> en el segundo semestre del año.</w:t>
      </w:r>
    </w:p>
    <w:p w:rsidR="00946A7E" w:rsidRPr="00C74525" w:rsidRDefault="00946A7E" w:rsidP="00C74525">
      <w:pPr>
        <w:rPr>
          <w:rFonts w:cs="Arial"/>
          <w:sz w:val="22"/>
          <w:szCs w:val="22"/>
        </w:rPr>
      </w:pPr>
    </w:p>
    <w:p w:rsidR="006F123E" w:rsidRPr="00C74525" w:rsidRDefault="006F123E" w:rsidP="00C74525">
      <w:pPr>
        <w:pBdr>
          <w:top w:val="single" w:sz="4" w:space="1" w:color="auto"/>
          <w:left w:val="single" w:sz="4" w:space="4" w:color="auto"/>
          <w:bottom w:val="single" w:sz="4" w:space="0" w:color="auto"/>
          <w:right w:val="single" w:sz="4" w:space="4" w:color="auto"/>
        </w:pBdr>
        <w:shd w:val="clear" w:color="auto" w:fill="E6E6E6"/>
        <w:rPr>
          <w:rFonts w:cs="Arial"/>
          <w:sz w:val="22"/>
          <w:szCs w:val="22"/>
        </w:rPr>
      </w:pPr>
      <w:r w:rsidRPr="00C74525">
        <w:rPr>
          <w:rFonts w:cs="Arial"/>
          <w:b/>
          <w:bCs/>
          <w:sz w:val="22"/>
          <w:szCs w:val="22"/>
        </w:rPr>
        <w:t>5. CONCLUSIONES Y RECOMENDACIONES</w:t>
      </w:r>
    </w:p>
    <w:p w:rsidR="006F123E" w:rsidRPr="00C74525" w:rsidRDefault="006F123E" w:rsidP="00C74525">
      <w:pPr>
        <w:rPr>
          <w:rFonts w:cs="Arial"/>
          <w:sz w:val="22"/>
          <w:szCs w:val="22"/>
        </w:rPr>
      </w:pPr>
    </w:p>
    <w:p w:rsidR="006F123E" w:rsidRPr="00C74525" w:rsidRDefault="006F123E" w:rsidP="00C74525">
      <w:pPr>
        <w:rPr>
          <w:rFonts w:cs="Arial"/>
          <w:b/>
          <w:sz w:val="22"/>
          <w:szCs w:val="22"/>
        </w:rPr>
      </w:pPr>
      <w:r w:rsidRPr="00C74525">
        <w:rPr>
          <w:rFonts w:cs="Arial"/>
          <w:b/>
          <w:sz w:val="22"/>
          <w:szCs w:val="22"/>
        </w:rPr>
        <w:t>5.1 FORTALEZAS</w:t>
      </w:r>
    </w:p>
    <w:p w:rsidR="006F123E" w:rsidRPr="00C74525" w:rsidRDefault="006F123E" w:rsidP="00C74525">
      <w:pPr>
        <w:rPr>
          <w:rFonts w:cs="Arial"/>
          <w:sz w:val="22"/>
          <w:szCs w:val="22"/>
        </w:rPr>
      </w:pPr>
    </w:p>
    <w:p w:rsidR="006F123E" w:rsidRPr="00C74525" w:rsidRDefault="00137F60" w:rsidP="00C74525">
      <w:pPr>
        <w:pStyle w:val="Prrafodelista"/>
        <w:numPr>
          <w:ilvl w:val="0"/>
          <w:numId w:val="2"/>
        </w:numPr>
        <w:ind w:left="426" w:hanging="426"/>
        <w:rPr>
          <w:rFonts w:cs="Arial"/>
          <w:sz w:val="22"/>
          <w:szCs w:val="22"/>
        </w:rPr>
      </w:pPr>
      <w:r w:rsidRPr="00C74525">
        <w:rPr>
          <w:rFonts w:cs="Arial"/>
          <w:sz w:val="22"/>
          <w:szCs w:val="22"/>
        </w:rPr>
        <w:t>Se avanza en la implementación del Sistema de Información para la Planeación y Gestión-SIPG.</w:t>
      </w:r>
    </w:p>
    <w:p w:rsidR="006F123E" w:rsidRPr="00C74525" w:rsidRDefault="006F123E" w:rsidP="00C74525">
      <w:pPr>
        <w:rPr>
          <w:rFonts w:cs="Arial"/>
          <w:sz w:val="22"/>
          <w:szCs w:val="22"/>
        </w:rPr>
      </w:pPr>
    </w:p>
    <w:p w:rsidR="006F123E" w:rsidRPr="00C74525" w:rsidRDefault="006F123E" w:rsidP="00C74525">
      <w:pPr>
        <w:rPr>
          <w:rFonts w:cs="Arial"/>
          <w:b/>
          <w:sz w:val="22"/>
          <w:szCs w:val="22"/>
        </w:rPr>
      </w:pPr>
      <w:r w:rsidRPr="00C74525">
        <w:rPr>
          <w:rFonts w:cs="Arial"/>
          <w:b/>
          <w:sz w:val="22"/>
          <w:szCs w:val="22"/>
        </w:rPr>
        <w:t>5.2 DEBILIDADES</w:t>
      </w:r>
    </w:p>
    <w:p w:rsidR="006F123E" w:rsidRPr="00C74525" w:rsidRDefault="006F123E" w:rsidP="00C74525">
      <w:pPr>
        <w:rPr>
          <w:rFonts w:cs="Arial"/>
          <w:sz w:val="22"/>
          <w:szCs w:val="22"/>
        </w:rPr>
      </w:pPr>
    </w:p>
    <w:p w:rsidR="006F123E" w:rsidRPr="00C74525" w:rsidRDefault="00AB13A9" w:rsidP="00C74525">
      <w:pPr>
        <w:rPr>
          <w:rFonts w:cs="Arial"/>
          <w:sz w:val="22"/>
          <w:szCs w:val="22"/>
        </w:rPr>
      </w:pPr>
      <w:r w:rsidRPr="00C74525">
        <w:rPr>
          <w:rFonts w:cs="Arial"/>
          <w:sz w:val="22"/>
          <w:szCs w:val="22"/>
        </w:rPr>
        <w:t>Ver situaciones susceptibles de mejora.</w:t>
      </w:r>
    </w:p>
    <w:p w:rsidR="00AB13A9" w:rsidRPr="00C74525" w:rsidRDefault="00AB13A9" w:rsidP="00C74525">
      <w:pPr>
        <w:rPr>
          <w:rFonts w:cs="Arial"/>
          <w:sz w:val="22"/>
          <w:szCs w:val="22"/>
        </w:rPr>
      </w:pPr>
    </w:p>
    <w:p w:rsidR="006F123E" w:rsidRPr="00C74525" w:rsidRDefault="006F123E" w:rsidP="00C74525">
      <w:pPr>
        <w:rPr>
          <w:rFonts w:cs="Arial"/>
          <w:b/>
          <w:sz w:val="22"/>
          <w:szCs w:val="22"/>
        </w:rPr>
      </w:pPr>
      <w:r w:rsidRPr="00C74525">
        <w:rPr>
          <w:rFonts w:cs="Arial"/>
          <w:b/>
          <w:sz w:val="22"/>
          <w:szCs w:val="22"/>
        </w:rPr>
        <w:t>5.</w:t>
      </w:r>
      <w:r w:rsidR="00020AE6" w:rsidRPr="00C74525">
        <w:rPr>
          <w:rFonts w:cs="Arial"/>
          <w:b/>
          <w:sz w:val="22"/>
          <w:szCs w:val="22"/>
        </w:rPr>
        <w:t>2.1</w:t>
      </w:r>
      <w:r w:rsidRPr="00C74525">
        <w:rPr>
          <w:rFonts w:cs="Arial"/>
          <w:b/>
          <w:sz w:val="22"/>
          <w:szCs w:val="22"/>
        </w:rPr>
        <w:t xml:space="preserve"> SITUACIONES SUSCEPTIBLES DE MEJORA</w:t>
      </w:r>
    </w:p>
    <w:tbl>
      <w:tblPr>
        <w:tblW w:w="10371" w:type="dxa"/>
        <w:jc w:val="center"/>
        <w:tblLayout w:type="fixed"/>
        <w:tblLook w:val="01E0" w:firstRow="1" w:lastRow="1" w:firstColumn="1" w:lastColumn="1" w:noHBand="0" w:noVBand="0"/>
      </w:tblPr>
      <w:tblGrid>
        <w:gridCol w:w="470"/>
        <w:gridCol w:w="5259"/>
        <w:gridCol w:w="1219"/>
        <w:gridCol w:w="3423"/>
      </w:tblGrid>
      <w:tr w:rsidR="006F123E" w:rsidRPr="00C74525" w:rsidTr="00AC43F6">
        <w:trPr>
          <w:cantSplit/>
          <w:trHeight w:val="20"/>
          <w:jc w:val="center"/>
        </w:trPr>
        <w:tc>
          <w:tcPr>
            <w:tcW w:w="1037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6F123E" w:rsidP="00C74525">
            <w:pPr>
              <w:jc w:val="center"/>
              <w:rPr>
                <w:rFonts w:cs="Arial"/>
                <w:b/>
                <w:bCs/>
                <w:i/>
                <w:sz w:val="18"/>
                <w:szCs w:val="18"/>
              </w:rPr>
            </w:pPr>
            <w:r w:rsidRPr="00C74525">
              <w:rPr>
                <w:rFonts w:cs="Arial"/>
                <w:b/>
                <w:bCs/>
                <w:sz w:val="18"/>
                <w:szCs w:val="18"/>
              </w:rPr>
              <w:t>SITUACIONES SUSCEPTIBLES DE MEJORA</w:t>
            </w:r>
          </w:p>
        </w:tc>
      </w:tr>
      <w:tr w:rsidR="006F123E" w:rsidRPr="00C74525" w:rsidTr="00AC43F6">
        <w:trPr>
          <w:cantSplit/>
          <w:trHeight w:val="20"/>
          <w:jc w:val="center"/>
        </w:trPr>
        <w:tc>
          <w:tcPr>
            <w:tcW w:w="10371" w:type="dxa"/>
            <w:gridSpan w:val="4"/>
            <w:tcBorders>
              <w:top w:val="single" w:sz="4" w:space="0" w:color="auto"/>
              <w:left w:val="single" w:sz="4" w:space="0" w:color="auto"/>
              <w:bottom w:val="single" w:sz="4" w:space="0" w:color="auto"/>
              <w:right w:val="single" w:sz="4" w:space="0" w:color="auto"/>
            </w:tcBorders>
            <w:shd w:val="pct10" w:color="auto" w:fill="auto"/>
          </w:tcPr>
          <w:p w:rsidR="006F123E" w:rsidRPr="00C74525" w:rsidRDefault="006F123E" w:rsidP="00C74525">
            <w:pPr>
              <w:rPr>
                <w:rFonts w:cs="Arial"/>
                <w:b/>
                <w:bCs/>
                <w:i/>
                <w:sz w:val="18"/>
                <w:szCs w:val="18"/>
              </w:rPr>
            </w:pPr>
            <w:r w:rsidRPr="00C74525">
              <w:rPr>
                <w:rFonts w:cs="Arial"/>
                <w:b/>
                <w:bCs/>
                <w:i/>
                <w:sz w:val="18"/>
                <w:szCs w:val="18"/>
              </w:rPr>
              <w:t>De acuerdo con el procedimiento S-PD-001, las situaciones de mejora identificadas, no requieren un plan de mejoramiento, sin embargo, deben ser atendidas, en el marco de la gestión propia del área o proceso; por lo cual la OCI revisará las medidas adoptadas para su mitigación en la próxima auditoría.</w:t>
            </w:r>
          </w:p>
        </w:tc>
      </w:tr>
      <w:tr w:rsidR="006F123E" w:rsidRPr="00C74525" w:rsidTr="00A22D3E">
        <w:trPr>
          <w:cantSplit/>
          <w:trHeight w:val="20"/>
          <w:jc w:val="center"/>
        </w:trPr>
        <w:tc>
          <w:tcPr>
            <w:tcW w:w="470" w:type="dxa"/>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AB13A9" w:rsidP="00C74525">
            <w:pPr>
              <w:jc w:val="center"/>
              <w:rPr>
                <w:rFonts w:cs="Arial"/>
                <w:b/>
                <w:bCs/>
                <w:sz w:val="18"/>
                <w:szCs w:val="18"/>
              </w:rPr>
            </w:pPr>
            <w:proofErr w:type="spellStart"/>
            <w:r w:rsidRPr="00C74525">
              <w:rPr>
                <w:rFonts w:cs="Arial"/>
                <w:b/>
                <w:bCs/>
                <w:sz w:val="18"/>
                <w:szCs w:val="18"/>
              </w:rPr>
              <w:t>N°</w:t>
            </w:r>
            <w:proofErr w:type="spellEnd"/>
          </w:p>
        </w:tc>
        <w:tc>
          <w:tcPr>
            <w:tcW w:w="5259" w:type="dxa"/>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6F123E" w:rsidP="00C74525">
            <w:pPr>
              <w:jc w:val="center"/>
              <w:rPr>
                <w:rFonts w:cs="Arial"/>
                <w:b/>
                <w:bCs/>
                <w:sz w:val="18"/>
                <w:szCs w:val="18"/>
              </w:rPr>
            </w:pPr>
            <w:r w:rsidRPr="00C74525">
              <w:rPr>
                <w:rFonts w:cs="Arial"/>
                <w:b/>
                <w:bCs/>
                <w:sz w:val="18"/>
                <w:szCs w:val="18"/>
              </w:rPr>
              <w:t>DECRIPCIÓN DE LA SITUACIÓN SUSCEPTIBLE DE MEJORA</w:t>
            </w:r>
          </w:p>
        </w:tc>
        <w:tc>
          <w:tcPr>
            <w:tcW w:w="1219" w:type="dxa"/>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6F123E" w:rsidP="00C74525">
            <w:pPr>
              <w:jc w:val="center"/>
              <w:rPr>
                <w:rFonts w:cs="Arial"/>
                <w:b/>
                <w:bCs/>
                <w:sz w:val="18"/>
                <w:szCs w:val="18"/>
              </w:rPr>
            </w:pPr>
            <w:r w:rsidRPr="00C74525">
              <w:rPr>
                <w:rFonts w:cs="Arial"/>
                <w:b/>
                <w:bCs/>
                <w:sz w:val="18"/>
                <w:szCs w:val="18"/>
              </w:rPr>
              <w:t>NUMERAL DEL</w:t>
            </w:r>
          </w:p>
          <w:p w:rsidR="006F123E" w:rsidRPr="00C74525" w:rsidRDefault="006F123E" w:rsidP="00C74525">
            <w:pPr>
              <w:jc w:val="center"/>
              <w:rPr>
                <w:rFonts w:cs="Arial"/>
                <w:b/>
                <w:bCs/>
                <w:sz w:val="18"/>
                <w:szCs w:val="18"/>
              </w:rPr>
            </w:pPr>
            <w:r w:rsidRPr="00C74525">
              <w:rPr>
                <w:rFonts w:cs="Arial"/>
                <w:b/>
                <w:bCs/>
                <w:sz w:val="18"/>
                <w:szCs w:val="18"/>
              </w:rPr>
              <w:t>INFORME</w:t>
            </w:r>
          </w:p>
        </w:tc>
        <w:tc>
          <w:tcPr>
            <w:tcW w:w="3423" w:type="dxa"/>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6F123E" w:rsidP="00C74525">
            <w:pPr>
              <w:jc w:val="center"/>
              <w:rPr>
                <w:rFonts w:cs="Arial"/>
                <w:b/>
                <w:bCs/>
                <w:sz w:val="18"/>
                <w:szCs w:val="18"/>
              </w:rPr>
            </w:pPr>
            <w:r w:rsidRPr="00C74525">
              <w:rPr>
                <w:rFonts w:cs="Arial"/>
                <w:b/>
                <w:bCs/>
                <w:sz w:val="18"/>
                <w:szCs w:val="18"/>
              </w:rPr>
              <w:t>RESPONSABLE</w:t>
            </w:r>
          </w:p>
        </w:tc>
      </w:tr>
      <w:tr w:rsidR="004B09BE" w:rsidRPr="00C74525" w:rsidTr="00A22D3E">
        <w:trPr>
          <w:cantSplit/>
          <w:trHeight w:val="20"/>
          <w:jc w:val="center"/>
        </w:trPr>
        <w:tc>
          <w:tcPr>
            <w:tcW w:w="470" w:type="dxa"/>
            <w:tcBorders>
              <w:top w:val="single" w:sz="4" w:space="0" w:color="auto"/>
              <w:left w:val="single" w:sz="4" w:space="0" w:color="auto"/>
              <w:bottom w:val="single" w:sz="4" w:space="0" w:color="auto"/>
              <w:right w:val="single" w:sz="4" w:space="0" w:color="auto"/>
            </w:tcBorders>
            <w:vAlign w:val="center"/>
          </w:tcPr>
          <w:p w:rsidR="004B09BE" w:rsidRPr="00C74525" w:rsidRDefault="004B09BE" w:rsidP="00C74525">
            <w:pPr>
              <w:jc w:val="center"/>
              <w:rPr>
                <w:rFonts w:cs="Arial"/>
                <w:bCs/>
                <w:sz w:val="18"/>
                <w:szCs w:val="18"/>
              </w:rPr>
            </w:pPr>
            <w:r w:rsidRPr="00C74525">
              <w:rPr>
                <w:rFonts w:cs="Arial"/>
                <w:bCs/>
                <w:sz w:val="18"/>
                <w:szCs w:val="18"/>
              </w:rPr>
              <w:t>1</w:t>
            </w:r>
          </w:p>
        </w:tc>
        <w:tc>
          <w:tcPr>
            <w:tcW w:w="5259" w:type="dxa"/>
            <w:tcBorders>
              <w:top w:val="single" w:sz="4" w:space="0" w:color="auto"/>
              <w:left w:val="single" w:sz="4" w:space="0" w:color="auto"/>
              <w:bottom w:val="single" w:sz="4" w:space="0" w:color="auto"/>
              <w:right w:val="single" w:sz="4" w:space="0" w:color="auto"/>
            </w:tcBorders>
            <w:vAlign w:val="center"/>
          </w:tcPr>
          <w:p w:rsidR="004B09BE" w:rsidRPr="00C74525" w:rsidRDefault="00263BC9" w:rsidP="00C74525">
            <w:pPr>
              <w:rPr>
                <w:rFonts w:cs="Arial"/>
                <w:sz w:val="18"/>
                <w:szCs w:val="18"/>
              </w:rPr>
            </w:pPr>
            <w:r w:rsidRPr="00C74525">
              <w:rPr>
                <w:rFonts w:cs="Arial"/>
                <w:sz w:val="18"/>
                <w:szCs w:val="18"/>
              </w:rPr>
              <w:t xml:space="preserve">En algunos documentos del SIG no se ha dado cumplimiento al lineamiento dado por la Dirección de Planeación mediante el radicado 3-2016-01148 de enero 27 de 2016, </w:t>
            </w:r>
            <w:r w:rsidR="00837CF0" w:rsidRPr="00C74525">
              <w:rPr>
                <w:rFonts w:cs="Arial"/>
                <w:sz w:val="18"/>
                <w:szCs w:val="18"/>
              </w:rPr>
              <w:t>en cuanto a la actualización del logo de la administración,</w:t>
            </w:r>
            <w:r w:rsidR="0089031C" w:rsidRPr="00C74525">
              <w:rPr>
                <w:rFonts w:cs="Arial"/>
                <w:sz w:val="18"/>
                <w:szCs w:val="18"/>
              </w:rPr>
              <w:t xml:space="preserve"> </w:t>
            </w:r>
            <w:r w:rsidRPr="00C74525">
              <w:rPr>
                <w:rFonts w:cs="Arial"/>
                <w:sz w:val="18"/>
                <w:szCs w:val="18"/>
              </w:rPr>
              <w:t xml:space="preserve">como: A-CO-008 , </w:t>
            </w:r>
            <w:r w:rsidRPr="00C74525">
              <w:rPr>
                <w:rFonts w:cs="Arial"/>
                <w:sz w:val="18"/>
                <w:szCs w:val="18"/>
                <w:lang w:val="es-ES"/>
              </w:rPr>
              <w:t xml:space="preserve">A-CO-011, M-CO-002, M-CO-077, M-CO-079, </w:t>
            </w:r>
            <w:r w:rsidRPr="00C74525">
              <w:rPr>
                <w:rFonts w:cs="Arial"/>
                <w:sz w:val="18"/>
                <w:szCs w:val="18"/>
              </w:rPr>
              <w:t>M-CO-080, A-FO-240, E-PD-015, M-FO-120, M-PD-061, A-PD-126, A-PD-145, A-PD-160, M-PD-162.</w:t>
            </w:r>
            <w:r w:rsidR="00270243" w:rsidRPr="00C74525">
              <w:rPr>
                <w:rFonts w:cs="Arial"/>
                <w:sz w:val="18"/>
                <w:szCs w:val="18"/>
              </w:rPr>
              <w:t xml:space="preserve"> Se recomienda su ajuste inmediato.</w:t>
            </w:r>
          </w:p>
        </w:tc>
        <w:tc>
          <w:tcPr>
            <w:tcW w:w="1219" w:type="dxa"/>
            <w:tcBorders>
              <w:top w:val="single" w:sz="4" w:space="0" w:color="auto"/>
              <w:left w:val="single" w:sz="4" w:space="0" w:color="auto"/>
              <w:bottom w:val="single" w:sz="4" w:space="0" w:color="auto"/>
              <w:right w:val="single" w:sz="4" w:space="0" w:color="auto"/>
            </w:tcBorders>
            <w:vAlign w:val="center"/>
          </w:tcPr>
          <w:p w:rsidR="004B09BE" w:rsidRPr="00C74525" w:rsidRDefault="00263BC9" w:rsidP="00C74525">
            <w:pPr>
              <w:pStyle w:val="Prrafodelista"/>
              <w:ind w:left="0"/>
              <w:jc w:val="center"/>
              <w:rPr>
                <w:rFonts w:cs="Arial"/>
                <w:sz w:val="18"/>
                <w:szCs w:val="18"/>
              </w:rPr>
            </w:pPr>
            <w:r w:rsidRPr="00C74525">
              <w:rPr>
                <w:rFonts w:cs="Arial"/>
                <w:sz w:val="18"/>
                <w:szCs w:val="18"/>
              </w:rPr>
              <w:t>4.5</w:t>
            </w:r>
          </w:p>
        </w:tc>
        <w:tc>
          <w:tcPr>
            <w:tcW w:w="3423" w:type="dxa"/>
            <w:tcBorders>
              <w:top w:val="single" w:sz="4" w:space="0" w:color="auto"/>
              <w:left w:val="single" w:sz="4" w:space="0" w:color="auto"/>
              <w:bottom w:val="single" w:sz="4" w:space="0" w:color="auto"/>
              <w:right w:val="single" w:sz="4" w:space="0" w:color="auto"/>
            </w:tcBorders>
            <w:vAlign w:val="center"/>
          </w:tcPr>
          <w:p w:rsidR="004B09BE" w:rsidRPr="00C74525" w:rsidRDefault="00263BC9" w:rsidP="00C74525">
            <w:pPr>
              <w:tabs>
                <w:tab w:val="left" w:pos="6226"/>
              </w:tabs>
              <w:jc w:val="left"/>
              <w:rPr>
                <w:rFonts w:cs="Arial"/>
                <w:sz w:val="18"/>
                <w:szCs w:val="18"/>
              </w:rPr>
            </w:pPr>
            <w:r w:rsidRPr="00C74525">
              <w:rPr>
                <w:rFonts w:cs="Arial"/>
                <w:sz w:val="18"/>
                <w:szCs w:val="18"/>
              </w:rPr>
              <w:t>Dirección de Gestión Humana.</w:t>
            </w:r>
          </w:p>
          <w:p w:rsidR="00263BC9" w:rsidRPr="00C74525" w:rsidRDefault="00263BC9" w:rsidP="00C74525">
            <w:pPr>
              <w:tabs>
                <w:tab w:val="left" w:pos="6226"/>
              </w:tabs>
              <w:jc w:val="left"/>
              <w:rPr>
                <w:rFonts w:cs="Arial"/>
                <w:sz w:val="18"/>
                <w:szCs w:val="18"/>
              </w:rPr>
            </w:pPr>
            <w:r w:rsidRPr="00C74525">
              <w:rPr>
                <w:rFonts w:cs="Arial"/>
                <w:sz w:val="18"/>
                <w:szCs w:val="18"/>
              </w:rPr>
              <w:t>Subsecretaría de Planeación Territorial.</w:t>
            </w:r>
          </w:p>
          <w:p w:rsidR="00263BC9" w:rsidRPr="00C74525" w:rsidRDefault="00263BC9" w:rsidP="00C74525">
            <w:pPr>
              <w:tabs>
                <w:tab w:val="left" w:pos="6226"/>
              </w:tabs>
              <w:jc w:val="left"/>
              <w:rPr>
                <w:rFonts w:cs="Arial"/>
                <w:sz w:val="18"/>
                <w:szCs w:val="18"/>
              </w:rPr>
            </w:pPr>
            <w:r w:rsidRPr="00C74525">
              <w:rPr>
                <w:rFonts w:cs="Arial"/>
                <w:sz w:val="18"/>
                <w:szCs w:val="18"/>
              </w:rPr>
              <w:t>Dirección de Recursos Físicos y Gestión Documental.</w:t>
            </w:r>
          </w:p>
          <w:p w:rsidR="00263BC9" w:rsidRPr="00C74525" w:rsidRDefault="00263BC9" w:rsidP="00C74525">
            <w:pPr>
              <w:tabs>
                <w:tab w:val="left" w:pos="6226"/>
              </w:tabs>
              <w:jc w:val="left"/>
              <w:rPr>
                <w:rFonts w:cs="Arial"/>
                <w:sz w:val="18"/>
                <w:szCs w:val="18"/>
              </w:rPr>
            </w:pPr>
            <w:r w:rsidRPr="00C74525">
              <w:rPr>
                <w:rFonts w:cs="Arial"/>
                <w:sz w:val="18"/>
                <w:szCs w:val="18"/>
              </w:rPr>
              <w:t>Oficina de Prensa.</w:t>
            </w:r>
          </w:p>
          <w:p w:rsidR="00837CF0" w:rsidRPr="00C74525" w:rsidRDefault="00837CF0" w:rsidP="00C74525">
            <w:pPr>
              <w:tabs>
                <w:tab w:val="left" w:pos="6226"/>
              </w:tabs>
              <w:jc w:val="left"/>
              <w:rPr>
                <w:rFonts w:cs="Arial"/>
                <w:sz w:val="18"/>
                <w:szCs w:val="18"/>
              </w:rPr>
            </w:pPr>
            <w:r w:rsidRPr="00C74525">
              <w:rPr>
                <w:rFonts w:cs="Arial"/>
                <w:sz w:val="18"/>
                <w:szCs w:val="18"/>
              </w:rPr>
              <w:t>Dirección de Norma Urbana.</w:t>
            </w:r>
          </w:p>
          <w:p w:rsidR="00837CF0" w:rsidRPr="00C74525" w:rsidRDefault="00837CF0" w:rsidP="00C74525">
            <w:pPr>
              <w:tabs>
                <w:tab w:val="left" w:pos="6226"/>
              </w:tabs>
              <w:jc w:val="left"/>
              <w:rPr>
                <w:rFonts w:cs="Arial"/>
                <w:sz w:val="18"/>
                <w:szCs w:val="18"/>
              </w:rPr>
            </w:pPr>
            <w:r w:rsidRPr="00C74525">
              <w:rPr>
                <w:rFonts w:cs="Arial"/>
                <w:sz w:val="18"/>
                <w:szCs w:val="18"/>
              </w:rPr>
              <w:t>Dirección de Vías, Transporte y Servicios Públicos</w:t>
            </w:r>
          </w:p>
          <w:p w:rsidR="00263BC9" w:rsidRPr="00C74525" w:rsidRDefault="00837CF0" w:rsidP="00C74525">
            <w:pPr>
              <w:tabs>
                <w:tab w:val="left" w:pos="6226"/>
              </w:tabs>
              <w:jc w:val="left"/>
              <w:rPr>
                <w:rFonts w:cs="Arial"/>
                <w:sz w:val="18"/>
                <w:szCs w:val="18"/>
              </w:rPr>
            </w:pPr>
            <w:r w:rsidRPr="00C74525">
              <w:rPr>
                <w:rFonts w:cs="Arial"/>
                <w:sz w:val="18"/>
                <w:szCs w:val="18"/>
              </w:rPr>
              <w:t>Dirección de Planeación.</w:t>
            </w:r>
          </w:p>
        </w:tc>
      </w:tr>
      <w:tr w:rsidR="006F123E" w:rsidRPr="00C74525" w:rsidTr="00AC43F6">
        <w:trPr>
          <w:cantSplit/>
          <w:trHeight w:val="20"/>
          <w:jc w:val="center"/>
        </w:trPr>
        <w:tc>
          <w:tcPr>
            <w:tcW w:w="10371"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F123E" w:rsidRPr="00C74525" w:rsidRDefault="006F123E" w:rsidP="00C74525">
            <w:pPr>
              <w:autoSpaceDE w:val="0"/>
              <w:autoSpaceDN w:val="0"/>
              <w:adjustRightInd w:val="0"/>
              <w:jc w:val="center"/>
              <w:rPr>
                <w:rFonts w:eastAsiaTheme="minorHAnsi" w:cs="Arial"/>
                <w:i/>
                <w:color w:val="FFFFFF" w:themeColor="background1"/>
                <w:sz w:val="18"/>
                <w:szCs w:val="18"/>
                <w:u w:val="single"/>
              </w:rPr>
            </w:pPr>
            <w:r w:rsidRPr="00C74525">
              <w:rPr>
                <w:rFonts w:eastAsiaTheme="minorHAnsi" w:cs="Arial"/>
                <w:i/>
                <w:color w:val="FFFFFF" w:themeColor="background1"/>
                <w:sz w:val="18"/>
                <w:szCs w:val="18"/>
                <w:u w:val="single"/>
              </w:rPr>
              <w:t>Para la formulación de Planes de Mejoramiento, remítase al procedimiento S-PD-005 Gestión del Plan de Mejoramiento.</w:t>
            </w:r>
          </w:p>
        </w:tc>
      </w:tr>
    </w:tbl>
    <w:p w:rsidR="00CD379D" w:rsidRPr="00931EBA" w:rsidRDefault="00CD379D" w:rsidP="00C74525">
      <w:pPr>
        <w:rPr>
          <w:rFonts w:cs="Arial"/>
          <w:sz w:val="22"/>
          <w:szCs w:val="22"/>
        </w:rPr>
      </w:pPr>
    </w:p>
    <w:p w:rsidR="006F123E" w:rsidRPr="00C74525" w:rsidRDefault="00020AE6" w:rsidP="00C74525">
      <w:pPr>
        <w:rPr>
          <w:rFonts w:cs="Arial"/>
          <w:b/>
          <w:sz w:val="22"/>
          <w:szCs w:val="22"/>
        </w:rPr>
      </w:pPr>
      <w:r w:rsidRPr="00C74525">
        <w:rPr>
          <w:rFonts w:cs="Arial"/>
          <w:b/>
          <w:sz w:val="22"/>
          <w:szCs w:val="22"/>
        </w:rPr>
        <w:t>5.2.2</w:t>
      </w:r>
      <w:r w:rsidR="006F123E" w:rsidRPr="00C74525">
        <w:rPr>
          <w:rFonts w:cs="Arial"/>
          <w:b/>
          <w:sz w:val="22"/>
          <w:szCs w:val="22"/>
        </w:rPr>
        <w:t xml:space="preserve"> SITUACIONES CRÍTICAS.</w:t>
      </w:r>
    </w:p>
    <w:tbl>
      <w:tblPr>
        <w:tblW w:w="10247" w:type="dxa"/>
        <w:jc w:val="center"/>
        <w:tblLayout w:type="fixed"/>
        <w:tblLook w:val="01E0" w:firstRow="1" w:lastRow="1" w:firstColumn="1" w:lastColumn="1" w:noHBand="0" w:noVBand="0"/>
      </w:tblPr>
      <w:tblGrid>
        <w:gridCol w:w="327"/>
        <w:gridCol w:w="807"/>
        <w:gridCol w:w="142"/>
        <w:gridCol w:w="847"/>
        <w:gridCol w:w="1843"/>
        <w:gridCol w:w="953"/>
        <w:gridCol w:w="829"/>
        <w:gridCol w:w="796"/>
        <w:gridCol w:w="1065"/>
        <w:gridCol w:w="1346"/>
        <w:gridCol w:w="1292"/>
      </w:tblGrid>
      <w:tr w:rsidR="006F123E" w:rsidRPr="00C74525" w:rsidTr="00A80C4C">
        <w:trPr>
          <w:cantSplit/>
          <w:trHeight w:val="20"/>
          <w:jc w:val="center"/>
        </w:trPr>
        <w:tc>
          <w:tcPr>
            <w:tcW w:w="1134" w:type="dxa"/>
            <w:gridSpan w:val="2"/>
            <w:tcBorders>
              <w:top w:val="single" w:sz="4" w:space="0" w:color="auto"/>
              <w:left w:val="single" w:sz="4" w:space="0" w:color="auto"/>
              <w:bottom w:val="single" w:sz="4" w:space="0" w:color="auto"/>
              <w:right w:val="single" w:sz="4" w:space="0" w:color="auto"/>
            </w:tcBorders>
            <w:shd w:val="clear" w:color="auto" w:fill="E6E6E6"/>
          </w:tcPr>
          <w:p w:rsidR="006F123E" w:rsidRPr="00C74525" w:rsidRDefault="006F123E" w:rsidP="00C74525">
            <w:pPr>
              <w:jc w:val="center"/>
              <w:rPr>
                <w:rFonts w:cs="Arial"/>
                <w:noProof/>
                <w:sz w:val="18"/>
                <w:szCs w:val="18"/>
                <w:lang w:val="en-US"/>
              </w:rPr>
            </w:pPr>
            <w:r w:rsidRPr="00C74525">
              <w:rPr>
                <w:rFonts w:cs="Arial"/>
                <w:noProof/>
                <w:sz w:val="18"/>
                <w:szCs w:val="18"/>
                <w:lang w:val="es-ES" w:eastAsia="es-ES"/>
              </w:rPr>
              <w:drawing>
                <wp:inline distT="0" distB="0" distL="0" distR="0">
                  <wp:extent cx="295275" cy="295275"/>
                  <wp:effectExtent l="19050" t="0" r="9525"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96859" cy="296859"/>
                          </a:xfrm>
                          <a:prstGeom prst="rect">
                            <a:avLst/>
                          </a:prstGeom>
                          <a:noFill/>
                          <a:ln w="9525">
                            <a:noFill/>
                            <a:miter lim="800000"/>
                            <a:headEnd/>
                            <a:tailEnd/>
                          </a:ln>
                        </pic:spPr>
                      </pic:pic>
                    </a:graphicData>
                  </a:graphic>
                </wp:inline>
              </w:drawing>
            </w:r>
          </w:p>
        </w:tc>
        <w:tc>
          <w:tcPr>
            <w:tcW w:w="9113"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6F123E" w:rsidRPr="00C74525" w:rsidRDefault="006F123E" w:rsidP="00C74525">
            <w:pPr>
              <w:jc w:val="center"/>
              <w:rPr>
                <w:rFonts w:cs="Arial"/>
                <w:b/>
                <w:bCs/>
                <w:sz w:val="18"/>
                <w:szCs w:val="18"/>
              </w:rPr>
            </w:pPr>
            <w:r w:rsidRPr="00C74525">
              <w:rPr>
                <w:rFonts w:cs="Arial"/>
                <w:b/>
                <w:bCs/>
                <w:sz w:val="18"/>
                <w:szCs w:val="18"/>
              </w:rPr>
              <w:t>OFICINA DE C</w:t>
            </w:r>
            <w:r w:rsidR="00A135CE" w:rsidRPr="00C74525">
              <w:rPr>
                <w:rFonts w:cs="Arial"/>
                <w:b/>
                <w:bCs/>
                <w:sz w:val="18"/>
                <w:szCs w:val="18"/>
              </w:rPr>
              <w:t>ONTROL INTERNO - SITUACIONES CRÍ</w:t>
            </w:r>
            <w:r w:rsidRPr="00C74525">
              <w:rPr>
                <w:rFonts w:cs="Arial"/>
                <w:b/>
                <w:bCs/>
                <w:sz w:val="18"/>
                <w:szCs w:val="18"/>
              </w:rPr>
              <w:t>TICAS</w:t>
            </w:r>
          </w:p>
        </w:tc>
      </w:tr>
      <w:tr w:rsidR="006F123E" w:rsidRPr="00C74525" w:rsidTr="00A80C4C">
        <w:trPr>
          <w:cantSplit/>
          <w:trHeight w:val="20"/>
          <w:jc w:val="center"/>
        </w:trPr>
        <w:tc>
          <w:tcPr>
            <w:tcW w:w="12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6F123E" w:rsidRPr="00C74525" w:rsidRDefault="006F123E" w:rsidP="00C74525">
            <w:pPr>
              <w:jc w:val="center"/>
              <w:rPr>
                <w:rFonts w:cs="Arial"/>
                <w:b/>
                <w:bCs/>
                <w:sz w:val="14"/>
                <w:szCs w:val="14"/>
              </w:rPr>
            </w:pPr>
            <w:r w:rsidRPr="00C74525">
              <w:rPr>
                <w:rFonts w:cs="Arial"/>
                <w:b/>
                <w:bCs/>
                <w:sz w:val="14"/>
                <w:szCs w:val="14"/>
              </w:rPr>
              <w:t>Tema o Palabras Clave</w:t>
            </w:r>
            <w:r w:rsidR="008915CB" w:rsidRPr="00C74525">
              <w:rPr>
                <w:rFonts w:cs="Arial"/>
                <w:b/>
                <w:bCs/>
                <w:sz w:val="14"/>
                <w:szCs w:val="14"/>
              </w:rPr>
              <w:t xml:space="preserve"> </w:t>
            </w:r>
            <w:r w:rsidRPr="00C74525">
              <w:rPr>
                <w:rFonts w:cs="Arial"/>
                <w:b/>
                <w:bCs/>
                <w:sz w:val="14"/>
                <w:szCs w:val="14"/>
              </w:rPr>
              <w:t>(Max 5)</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F123E" w:rsidRPr="00C74525" w:rsidRDefault="006F123E" w:rsidP="00C74525">
            <w:pPr>
              <w:jc w:val="center"/>
              <w:rPr>
                <w:rFonts w:cs="Arial"/>
                <w:b/>
                <w:bCs/>
                <w:sz w:val="14"/>
                <w:szCs w:val="14"/>
              </w:rPr>
            </w:pPr>
            <w:r w:rsidRPr="00C74525">
              <w:rPr>
                <w:rFonts w:cs="Arial"/>
                <w:b/>
                <w:bCs/>
                <w:sz w:val="14"/>
                <w:szCs w:val="14"/>
              </w:rPr>
              <w:t>Numeral del</w:t>
            </w:r>
            <w:r w:rsidR="008915CB" w:rsidRPr="00C74525">
              <w:rPr>
                <w:rFonts w:cs="Arial"/>
                <w:b/>
                <w:bCs/>
                <w:sz w:val="14"/>
                <w:szCs w:val="14"/>
              </w:rPr>
              <w:t xml:space="preserve"> </w:t>
            </w:r>
            <w:r w:rsidRPr="00C74525">
              <w:rPr>
                <w:rFonts w:cs="Arial"/>
                <w:b/>
                <w:bCs/>
                <w:sz w:val="14"/>
                <w:szCs w:val="14"/>
              </w:rPr>
              <w:t>Informe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CONDICIÓN</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CRITERIO</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CAUSA</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EFECTO</w:t>
            </w:r>
          </w:p>
        </w:tc>
        <w:tc>
          <w:tcPr>
            <w:tcW w:w="1065" w:type="dxa"/>
            <w:tcBorders>
              <w:top w:val="single" w:sz="4" w:space="0" w:color="auto"/>
              <w:left w:val="single" w:sz="4" w:space="0" w:color="auto"/>
              <w:bottom w:val="single" w:sz="4" w:space="0" w:color="auto"/>
              <w:right w:val="single" w:sz="4" w:space="0" w:color="auto"/>
            </w:tcBorders>
            <w:shd w:val="clear" w:color="auto" w:fill="C0C0C0"/>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PROCESO ASOCIADO</w:t>
            </w:r>
          </w:p>
        </w:tc>
        <w:tc>
          <w:tcPr>
            <w:tcW w:w="1346" w:type="dxa"/>
            <w:tcBorders>
              <w:top w:val="single" w:sz="4" w:space="0" w:color="auto"/>
              <w:left w:val="single" w:sz="4" w:space="0" w:color="auto"/>
              <w:bottom w:val="single" w:sz="4" w:space="0" w:color="auto"/>
              <w:right w:val="single" w:sz="4" w:space="0" w:color="auto"/>
            </w:tcBorders>
            <w:shd w:val="clear" w:color="auto" w:fill="C0C0C0"/>
            <w:vAlign w:val="center"/>
          </w:tcPr>
          <w:p w:rsidR="006F123E" w:rsidRPr="00C74525" w:rsidRDefault="006F123E" w:rsidP="00C74525">
            <w:pPr>
              <w:jc w:val="center"/>
              <w:rPr>
                <w:rFonts w:cs="Arial"/>
                <w:b/>
                <w:bCs/>
                <w:sz w:val="14"/>
                <w:szCs w:val="14"/>
                <w:u w:val="single"/>
              </w:rPr>
            </w:pPr>
            <w:r w:rsidRPr="00C74525">
              <w:rPr>
                <w:rFonts w:cs="Arial"/>
                <w:b/>
                <w:bCs/>
                <w:sz w:val="14"/>
                <w:szCs w:val="14"/>
                <w:u w:val="single"/>
              </w:rPr>
              <w:t>RESPONSABLE</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6F123E" w:rsidRPr="00C74525" w:rsidRDefault="006F123E" w:rsidP="00C74525">
            <w:pPr>
              <w:jc w:val="center"/>
              <w:rPr>
                <w:rFonts w:cs="Arial"/>
                <w:b/>
                <w:bCs/>
                <w:sz w:val="14"/>
                <w:szCs w:val="14"/>
              </w:rPr>
            </w:pPr>
            <w:r w:rsidRPr="00C74525">
              <w:rPr>
                <w:rFonts w:cs="Arial"/>
                <w:b/>
                <w:bCs/>
                <w:sz w:val="14"/>
                <w:szCs w:val="14"/>
                <w:u w:val="single"/>
              </w:rPr>
              <w:t>ID</w:t>
            </w:r>
            <w:r w:rsidR="008915CB" w:rsidRPr="00C74525">
              <w:rPr>
                <w:rFonts w:cs="Arial"/>
                <w:b/>
                <w:bCs/>
                <w:sz w:val="14"/>
                <w:szCs w:val="14"/>
                <w:u w:val="single"/>
              </w:rPr>
              <w:t xml:space="preserve"> </w:t>
            </w:r>
            <w:r w:rsidRPr="00C74525">
              <w:rPr>
                <w:rFonts w:cs="Arial"/>
                <w:b/>
                <w:bCs/>
                <w:sz w:val="14"/>
                <w:szCs w:val="14"/>
              </w:rPr>
              <w:t>REINCIDENCIA</w:t>
            </w:r>
            <w:r w:rsidR="008915CB" w:rsidRPr="00C74525">
              <w:rPr>
                <w:rFonts w:cs="Arial"/>
                <w:b/>
                <w:bCs/>
                <w:sz w:val="14"/>
                <w:szCs w:val="14"/>
              </w:rPr>
              <w:t xml:space="preserve"> </w:t>
            </w:r>
            <w:r w:rsidRPr="00C74525">
              <w:rPr>
                <w:rFonts w:cs="Arial"/>
                <w:b/>
                <w:bCs/>
                <w:sz w:val="14"/>
                <w:szCs w:val="14"/>
              </w:rPr>
              <w:t>SI o NO</w:t>
            </w:r>
          </w:p>
        </w:tc>
      </w:tr>
      <w:tr w:rsidR="006F123E" w:rsidRPr="00D921BF" w:rsidTr="00A80C4C">
        <w:trPr>
          <w:cantSplit/>
          <w:trHeight w:val="20"/>
          <w:jc w:val="center"/>
        </w:trPr>
        <w:tc>
          <w:tcPr>
            <w:tcW w:w="327"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jc w:val="center"/>
              <w:rPr>
                <w:rFonts w:cs="Arial"/>
                <w:b/>
                <w:bCs/>
                <w:sz w:val="18"/>
                <w:szCs w:val="18"/>
              </w:rPr>
            </w:pPr>
            <w:r w:rsidRPr="00D921BF">
              <w:rPr>
                <w:rFonts w:cs="Arial"/>
                <w:b/>
                <w:bCs/>
                <w:sz w:val="18"/>
                <w:szCs w:val="18"/>
              </w:rPr>
              <w:t>1</w:t>
            </w:r>
          </w:p>
        </w:tc>
        <w:tc>
          <w:tcPr>
            <w:tcW w:w="949" w:type="dxa"/>
            <w:gridSpan w:val="2"/>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847"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r w:rsidRPr="00D921BF">
              <w:rPr>
                <w:rFonts w:cs="Arial"/>
                <w:sz w:val="18"/>
                <w:szCs w:val="18"/>
              </w:rPr>
              <w:t>No se encontraron situaciones críticas</w:t>
            </w:r>
          </w:p>
        </w:tc>
        <w:tc>
          <w:tcPr>
            <w:tcW w:w="953"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796"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1065"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rPr>
                <w:rFonts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jc w:val="center"/>
              <w:rPr>
                <w:rFonts w:cs="Arial"/>
                <w:sz w:val="18"/>
                <w:szCs w:val="18"/>
              </w:rPr>
            </w:pPr>
          </w:p>
        </w:tc>
        <w:tc>
          <w:tcPr>
            <w:tcW w:w="1292" w:type="dxa"/>
            <w:tcBorders>
              <w:top w:val="single" w:sz="4" w:space="0" w:color="auto"/>
              <w:left w:val="single" w:sz="4" w:space="0" w:color="auto"/>
              <w:bottom w:val="single" w:sz="4" w:space="0" w:color="auto"/>
              <w:right w:val="single" w:sz="4" w:space="0" w:color="auto"/>
            </w:tcBorders>
            <w:vAlign w:val="center"/>
          </w:tcPr>
          <w:p w:rsidR="006F123E" w:rsidRPr="00D921BF" w:rsidRDefault="006F123E" w:rsidP="00C74525">
            <w:pPr>
              <w:jc w:val="center"/>
              <w:rPr>
                <w:rFonts w:cs="Arial"/>
                <w:sz w:val="18"/>
                <w:szCs w:val="18"/>
              </w:rPr>
            </w:pPr>
          </w:p>
        </w:tc>
      </w:tr>
      <w:tr w:rsidR="006F123E" w:rsidRPr="00C74525" w:rsidTr="00A80C4C">
        <w:trPr>
          <w:cantSplit/>
          <w:trHeight w:val="20"/>
          <w:jc w:val="center"/>
        </w:trPr>
        <w:tc>
          <w:tcPr>
            <w:tcW w:w="10247" w:type="dxa"/>
            <w:gridSpan w:val="11"/>
            <w:tcBorders>
              <w:top w:val="single" w:sz="4" w:space="0" w:color="auto"/>
              <w:left w:val="single" w:sz="4" w:space="0" w:color="auto"/>
              <w:bottom w:val="single" w:sz="4" w:space="0" w:color="auto"/>
              <w:right w:val="single" w:sz="4" w:space="0" w:color="auto"/>
            </w:tcBorders>
            <w:shd w:val="solid" w:color="auto" w:fill="auto"/>
            <w:vAlign w:val="center"/>
          </w:tcPr>
          <w:p w:rsidR="006F123E" w:rsidRPr="00C74525" w:rsidRDefault="006F123E" w:rsidP="00C74525">
            <w:pPr>
              <w:autoSpaceDE w:val="0"/>
              <w:autoSpaceDN w:val="0"/>
              <w:adjustRightInd w:val="0"/>
              <w:jc w:val="center"/>
              <w:rPr>
                <w:rFonts w:cs="Arial"/>
                <w:color w:val="FFFFFF" w:themeColor="background1"/>
                <w:sz w:val="16"/>
                <w:szCs w:val="16"/>
              </w:rPr>
            </w:pPr>
            <w:r w:rsidRPr="00C74525">
              <w:rPr>
                <w:rFonts w:eastAsiaTheme="minorHAnsi" w:cs="Arial"/>
                <w:b/>
                <w:i/>
                <w:color w:val="FFFFFF" w:themeColor="background1"/>
                <w:sz w:val="16"/>
                <w:szCs w:val="16"/>
                <w:u w:val="single"/>
              </w:rPr>
              <w:t>Para la formulación de Planes de Mejoramiento, remítase al procedimiento S-PD-005 Gestión del Plan de Mejoramiento.</w:t>
            </w:r>
          </w:p>
        </w:tc>
      </w:tr>
    </w:tbl>
    <w:p w:rsidR="006F123E" w:rsidRPr="00931EBA" w:rsidRDefault="006F123E" w:rsidP="00C74525">
      <w:pPr>
        <w:rPr>
          <w:rFonts w:cs="Arial"/>
          <w:sz w:val="22"/>
          <w:szCs w:val="22"/>
        </w:rPr>
      </w:pPr>
    </w:p>
    <w:tbl>
      <w:tblPr>
        <w:tblW w:w="454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0"/>
        <w:gridCol w:w="2311"/>
        <w:gridCol w:w="2701"/>
        <w:gridCol w:w="2575"/>
      </w:tblGrid>
      <w:tr w:rsidR="006F123E" w:rsidRPr="00C74525" w:rsidTr="00931EBA">
        <w:trPr>
          <w:cantSplit/>
          <w:trHeight w:val="20"/>
          <w:jc w:val="center"/>
        </w:trPr>
        <w:tc>
          <w:tcPr>
            <w:tcW w:w="2150" w:type="pct"/>
            <w:gridSpan w:val="2"/>
            <w:tcBorders>
              <w:top w:val="single" w:sz="4" w:space="0" w:color="auto"/>
              <w:left w:val="single" w:sz="4" w:space="0" w:color="auto"/>
              <w:bottom w:val="single" w:sz="4" w:space="0" w:color="auto"/>
              <w:right w:val="single" w:sz="4" w:space="0" w:color="auto"/>
            </w:tcBorders>
            <w:shd w:val="pct10" w:color="auto" w:fill="auto"/>
            <w:vAlign w:val="center"/>
          </w:tcPr>
          <w:p w:rsidR="006F123E" w:rsidRPr="00C74525" w:rsidRDefault="006F123E" w:rsidP="00C74525">
            <w:pPr>
              <w:jc w:val="center"/>
              <w:rPr>
                <w:rFonts w:cs="Arial"/>
                <w:sz w:val="18"/>
                <w:szCs w:val="18"/>
                <w:lang w:eastAsia="es-ES"/>
              </w:rPr>
            </w:pPr>
            <w:r w:rsidRPr="00C74525">
              <w:rPr>
                <w:rFonts w:cs="Arial"/>
                <w:b/>
                <w:sz w:val="18"/>
                <w:szCs w:val="18"/>
                <w:lang w:eastAsia="es-ES"/>
              </w:rPr>
              <w:t>Nombres / Equipo Auditor</w:t>
            </w:r>
          </w:p>
        </w:tc>
        <w:tc>
          <w:tcPr>
            <w:tcW w:w="1459" w:type="pct"/>
            <w:tcBorders>
              <w:top w:val="single" w:sz="4" w:space="0" w:color="auto"/>
              <w:left w:val="single" w:sz="4" w:space="0" w:color="auto"/>
              <w:bottom w:val="single" w:sz="4" w:space="0" w:color="auto"/>
              <w:right w:val="single" w:sz="4" w:space="0" w:color="auto"/>
            </w:tcBorders>
            <w:shd w:val="pct10" w:color="auto" w:fill="auto"/>
          </w:tcPr>
          <w:p w:rsidR="006F123E" w:rsidRPr="00C74525" w:rsidRDefault="006F123E" w:rsidP="00C74525">
            <w:pPr>
              <w:jc w:val="center"/>
              <w:rPr>
                <w:rFonts w:cs="Arial"/>
                <w:b/>
                <w:sz w:val="18"/>
                <w:szCs w:val="18"/>
                <w:lang w:eastAsia="es-ES"/>
              </w:rPr>
            </w:pPr>
            <w:r w:rsidRPr="00C74525">
              <w:rPr>
                <w:rFonts w:cs="Arial"/>
                <w:b/>
                <w:sz w:val="18"/>
                <w:szCs w:val="18"/>
                <w:lang w:val="es-ES" w:eastAsia="es-ES"/>
              </w:rPr>
              <w:t>Fecha Inicio</w:t>
            </w:r>
          </w:p>
        </w:tc>
        <w:tc>
          <w:tcPr>
            <w:tcW w:w="1391" w:type="pct"/>
            <w:tcBorders>
              <w:top w:val="single" w:sz="4" w:space="0" w:color="auto"/>
              <w:left w:val="single" w:sz="4" w:space="0" w:color="auto"/>
              <w:bottom w:val="single" w:sz="4" w:space="0" w:color="auto"/>
              <w:right w:val="single" w:sz="4" w:space="0" w:color="auto"/>
            </w:tcBorders>
            <w:shd w:val="pct10" w:color="auto" w:fill="auto"/>
          </w:tcPr>
          <w:p w:rsidR="006F123E" w:rsidRPr="00C74525" w:rsidRDefault="006F123E" w:rsidP="00C74525">
            <w:pPr>
              <w:jc w:val="center"/>
              <w:rPr>
                <w:rFonts w:cs="Arial"/>
                <w:b/>
                <w:sz w:val="18"/>
                <w:szCs w:val="18"/>
                <w:lang w:eastAsia="es-ES"/>
              </w:rPr>
            </w:pPr>
            <w:r w:rsidRPr="00C74525">
              <w:rPr>
                <w:rFonts w:cs="Arial"/>
                <w:b/>
                <w:sz w:val="18"/>
                <w:szCs w:val="18"/>
                <w:lang w:val="es-ES" w:eastAsia="es-ES"/>
              </w:rPr>
              <w:t>Fecha Fin</w:t>
            </w:r>
          </w:p>
        </w:tc>
      </w:tr>
      <w:tr w:rsidR="003B4812" w:rsidRPr="00C74525" w:rsidTr="00931EBA">
        <w:trPr>
          <w:cantSplit/>
          <w:trHeight w:val="20"/>
          <w:jc w:val="cent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3B4812" w:rsidRPr="00C74525" w:rsidRDefault="003B4812" w:rsidP="00C74525">
            <w:pPr>
              <w:jc w:val="center"/>
              <w:rPr>
                <w:rFonts w:cs="Arial"/>
                <w:b/>
                <w:sz w:val="18"/>
                <w:szCs w:val="18"/>
                <w:lang w:val="es-ES" w:eastAsia="es-ES"/>
              </w:rPr>
            </w:pPr>
            <w:r w:rsidRPr="00C74525">
              <w:rPr>
                <w:rFonts w:cs="Arial"/>
                <w:b/>
                <w:sz w:val="18"/>
                <w:szCs w:val="18"/>
                <w:lang w:val="es-ES" w:eastAsia="es-ES"/>
              </w:rPr>
              <w:t xml:space="preserve">Auditor </w:t>
            </w:r>
          </w:p>
        </w:tc>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rsidR="003B4812" w:rsidRPr="00C74525" w:rsidRDefault="003B4812" w:rsidP="00C74525">
            <w:pPr>
              <w:rPr>
                <w:rFonts w:cs="Arial"/>
                <w:sz w:val="18"/>
                <w:szCs w:val="18"/>
                <w:lang w:eastAsia="es-ES"/>
              </w:rPr>
            </w:pPr>
            <w:r w:rsidRPr="00C74525">
              <w:rPr>
                <w:rFonts w:cs="Arial"/>
                <w:sz w:val="18"/>
                <w:szCs w:val="18"/>
                <w:lang w:eastAsia="es-ES"/>
              </w:rPr>
              <w:t>Eulalia Porras</w:t>
            </w:r>
          </w:p>
        </w:tc>
        <w:tc>
          <w:tcPr>
            <w:tcW w:w="1459" w:type="pct"/>
            <w:tcBorders>
              <w:top w:val="single" w:sz="4" w:space="0" w:color="auto"/>
              <w:left w:val="single" w:sz="4" w:space="0" w:color="auto"/>
              <w:bottom w:val="single" w:sz="4" w:space="0" w:color="auto"/>
              <w:right w:val="single" w:sz="4" w:space="0" w:color="auto"/>
            </w:tcBorders>
            <w:vAlign w:val="center"/>
          </w:tcPr>
          <w:p w:rsidR="003B4812" w:rsidRPr="00C74525" w:rsidRDefault="003B4812" w:rsidP="00C74525">
            <w:pPr>
              <w:jc w:val="center"/>
              <w:rPr>
                <w:rFonts w:cs="Arial"/>
                <w:sz w:val="18"/>
                <w:szCs w:val="18"/>
                <w:lang w:eastAsia="es-ES"/>
              </w:rPr>
            </w:pPr>
            <w:r w:rsidRPr="00C74525">
              <w:rPr>
                <w:rFonts w:cs="Arial"/>
                <w:sz w:val="18"/>
                <w:szCs w:val="18"/>
                <w:lang w:eastAsia="es-ES"/>
              </w:rPr>
              <w:t>Ju</w:t>
            </w:r>
            <w:r w:rsidR="0023388E" w:rsidRPr="00C74525">
              <w:rPr>
                <w:rFonts w:cs="Arial"/>
                <w:sz w:val="18"/>
                <w:szCs w:val="18"/>
                <w:lang w:eastAsia="es-ES"/>
              </w:rPr>
              <w:t>l</w:t>
            </w:r>
            <w:r w:rsidRPr="00C74525">
              <w:rPr>
                <w:rFonts w:cs="Arial"/>
                <w:sz w:val="18"/>
                <w:szCs w:val="18"/>
                <w:lang w:eastAsia="es-ES"/>
              </w:rPr>
              <w:t>io 0</w:t>
            </w:r>
            <w:r w:rsidR="00E96C21" w:rsidRPr="00C74525">
              <w:rPr>
                <w:rFonts w:cs="Arial"/>
                <w:sz w:val="18"/>
                <w:szCs w:val="18"/>
                <w:lang w:eastAsia="es-ES"/>
              </w:rPr>
              <w:t>2</w:t>
            </w:r>
            <w:r w:rsidRPr="00C74525">
              <w:rPr>
                <w:rFonts w:cs="Arial"/>
                <w:sz w:val="18"/>
                <w:szCs w:val="18"/>
                <w:lang w:eastAsia="es-ES"/>
              </w:rPr>
              <w:t xml:space="preserve"> de 2019</w:t>
            </w:r>
          </w:p>
        </w:tc>
        <w:tc>
          <w:tcPr>
            <w:tcW w:w="1391" w:type="pct"/>
            <w:tcBorders>
              <w:top w:val="single" w:sz="4" w:space="0" w:color="auto"/>
              <w:left w:val="single" w:sz="4" w:space="0" w:color="auto"/>
              <w:bottom w:val="single" w:sz="4" w:space="0" w:color="auto"/>
              <w:right w:val="single" w:sz="4" w:space="0" w:color="auto"/>
            </w:tcBorders>
            <w:vAlign w:val="center"/>
          </w:tcPr>
          <w:p w:rsidR="003B4812" w:rsidRPr="00F45DFE" w:rsidRDefault="003B4812" w:rsidP="005241B6">
            <w:pPr>
              <w:jc w:val="center"/>
              <w:rPr>
                <w:rFonts w:cs="Arial"/>
                <w:sz w:val="18"/>
                <w:szCs w:val="18"/>
                <w:lang w:eastAsia="es-ES"/>
              </w:rPr>
            </w:pPr>
            <w:r w:rsidRPr="00F45DFE">
              <w:rPr>
                <w:rFonts w:cs="Arial"/>
                <w:sz w:val="18"/>
                <w:szCs w:val="18"/>
                <w:lang w:eastAsia="es-ES"/>
              </w:rPr>
              <w:t>Ju</w:t>
            </w:r>
            <w:r w:rsidR="0023388E" w:rsidRPr="00F45DFE">
              <w:rPr>
                <w:rFonts w:cs="Arial"/>
                <w:sz w:val="18"/>
                <w:szCs w:val="18"/>
                <w:lang w:eastAsia="es-ES"/>
              </w:rPr>
              <w:t>l</w:t>
            </w:r>
            <w:r w:rsidRPr="00F45DFE">
              <w:rPr>
                <w:rFonts w:cs="Arial"/>
                <w:sz w:val="18"/>
                <w:szCs w:val="18"/>
                <w:lang w:eastAsia="es-ES"/>
              </w:rPr>
              <w:t xml:space="preserve">io </w:t>
            </w:r>
            <w:r w:rsidR="00F45DFE" w:rsidRPr="00F45DFE">
              <w:rPr>
                <w:rFonts w:cs="Arial"/>
                <w:sz w:val="18"/>
                <w:szCs w:val="18"/>
                <w:lang w:eastAsia="es-ES"/>
              </w:rPr>
              <w:t>09</w:t>
            </w:r>
            <w:r w:rsidRPr="00F45DFE">
              <w:rPr>
                <w:rFonts w:cs="Arial"/>
                <w:sz w:val="18"/>
                <w:szCs w:val="18"/>
                <w:lang w:eastAsia="es-ES"/>
              </w:rPr>
              <w:t xml:space="preserve"> de 2019</w:t>
            </w:r>
          </w:p>
        </w:tc>
      </w:tr>
    </w:tbl>
    <w:p w:rsidR="00AB13A9" w:rsidRPr="00931EBA" w:rsidRDefault="00AB13A9" w:rsidP="00C74525">
      <w:pPr>
        <w:rPr>
          <w:rFonts w:cs="Arial"/>
          <w:sz w:val="22"/>
          <w:szCs w:val="22"/>
        </w:rPr>
      </w:pPr>
    </w:p>
    <w:p w:rsidR="00A22D3E" w:rsidRPr="00A22D3E" w:rsidRDefault="00A22D3E" w:rsidP="00C74525">
      <w:pPr>
        <w:rPr>
          <w:rFonts w:cs="Arial"/>
          <w:sz w:val="22"/>
          <w:szCs w:val="22"/>
        </w:rPr>
      </w:pPr>
    </w:p>
    <w:p w:rsidR="00A22D3E" w:rsidRDefault="00A22D3E" w:rsidP="00C74525">
      <w:pPr>
        <w:rPr>
          <w:rFonts w:cs="Arial"/>
          <w:sz w:val="22"/>
          <w:szCs w:val="22"/>
        </w:rPr>
      </w:pPr>
    </w:p>
    <w:p w:rsidR="00B037CA" w:rsidRPr="00A22D3E" w:rsidRDefault="00B037CA" w:rsidP="00C74525">
      <w:pPr>
        <w:rPr>
          <w:rFonts w:cs="Arial"/>
          <w:sz w:val="22"/>
          <w:szCs w:val="22"/>
        </w:rPr>
      </w:pPr>
    </w:p>
    <w:p w:rsidR="006F123E" w:rsidRPr="00A22D3E" w:rsidRDefault="006F123E" w:rsidP="00C74525">
      <w:pPr>
        <w:rPr>
          <w:rFonts w:cs="Arial"/>
          <w:sz w:val="22"/>
          <w:szCs w:val="22"/>
        </w:rPr>
      </w:pPr>
      <w:r w:rsidRPr="00A22D3E">
        <w:rPr>
          <w:rFonts w:cs="Arial"/>
          <w:sz w:val="22"/>
          <w:szCs w:val="22"/>
        </w:rPr>
        <w:t>______________________________</w:t>
      </w:r>
    </w:p>
    <w:p w:rsidR="006F123E" w:rsidRPr="00A22D3E" w:rsidRDefault="006F123E" w:rsidP="00C74525">
      <w:pPr>
        <w:rPr>
          <w:rFonts w:cs="Arial"/>
          <w:b/>
          <w:sz w:val="22"/>
          <w:szCs w:val="22"/>
        </w:rPr>
      </w:pPr>
      <w:r w:rsidRPr="00A22D3E">
        <w:rPr>
          <w:rFonts w:cs="Arial"/>
          <w:b/>
          <w:sz w:val="22"/>
          <w:szCs w:val="22"/>
        </w:rPr>
        <w:t>Juan Felipe Rueda García</w:t>
      </w:r>
    </w:p>
    <w:p w:rsidR="00034EFB" w:rsidRPr="00A22D3E" w:rsidRDefault="006F123E" w:rsidP="00C74525">
      <w:pPr>
        <w:rPr>
          <w:rFonts w:cs="Arial"/>
          <w:sz w:val="22"/>
          <w:szCs w:val="22"/>
        </w:rPr>
      </w:pPr>
      <w:r w:rsidRPr="00A22D3E">
        <w:rPr>
          <w:rFonts w:cs="Arial"/>
          <w:b/>
          <w:sz w:val="22"/>
          <w:szCs w:val="22"/>
        </w:rPr>
        <w:t>Jefe Oficina de Control Interno</w:t>
      </w:r>
    </w:p>
    <w:sectPr w:rsidR="00034EFB" w:rsidRPr="00A22D3E" w:rsidSect="00B941D3">
      <w:headerReference w:type="default" r:id="rId12"/>
      <w:footerReference w:type="default" r:id="rId13"/>
      <w:type w:val="continuous"/>
      <w:pgSz w:w="12240" w:h="15840" w:code="1"/>
      <w:pgMar w:top="1843"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643" w:rsidRDefault="004D1643" w:rsidP="00FF1E86">
      <w:r>
        <w:separator/>
      </w:r>
    </w:p>
  </w:endnote>
  <w:endnote w:type="continuationSeparator" w:id="0">
    <w:p w:rsidR="004D1643" w:rsidRDefault="004D1643" w:rsidP="00F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698"/>
      <w:docPartObj>
        <w:docPartGallery w:val="Page Numbers (Bottom of Page)"/>
        <w:docPartUnique/>
      </w:docPartObj>
    </w:sdtPr>
    <w:sdtEndPr/>
    <w:sdtContent>
      <w:p w:rsidR="0075781C" w:rsidRDefault="00871C00">
        <w:pPr>
          <w:pStyle w:val="Piedepgina"/>
          <w:jc w:val="center"/>
        </w:pPr>
        <w:r w:rsidRPr="007F4D73">
          <w:rPr>
            <w:sz w:val="16"/>
            <w:szCs w:val="16"/>
          </w:rPr>
          <w:fldChar w:fldCharType="begin"/>
        </w:r>
        <w:r w:rsidR="0075781C" w:rsidRPr="007F4D73">
          <w:rPr>
            <w:sz w:val="16"/>
            <w:szCs w:val="16"/>
          </w:rPr>
          <w:instrText xml:space="preserve"> PAGE   \* MERGEFORMAT </w:instrText>
        </w:r>
        <w:r w:rsidRPr="007F4D73">
          <w:rPr>
            <w:sz w:val="16"/>
            <w:szCs w:val="16"/>
          </w:rPr>
          <w:fldChar w:fldCharType="separate"/>
        </w:r>
        <w:r w:rsidR="00686350">
          <w:rPr>
            <w:noProof/>
            <w:sz w:val="16"/>
            <w:szCs w:val="16"/>
          </w:rPr>
          <w:t>1</w:t>
        </w:r>
        <w:r w:rsidRPr="007F4D73">
          <w:rPr>
            <w:sz w:val="16"/>
            <w:szCs w:val="16"/>
          </w:rPr>
          <w:fldChar w:fldCharType="end"/>
        </w:r>
      </w:p>
    </w:sdtContent>
  </w:sdt>
  <w:p w:rsidR="0075781C" w:rsidRPr="00B04F32" w:rsidRDefault="0075781C" w:rsidP="00000BBA">
    <w:pPr>
      <w:pStyle w:val="Piedepgina"/>
      <w:jc w:val="cente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643" w:rsidRDefault="004D1643" w:rsidP="00FF1E86">
      <w:r>
        <w:separator/>
      </w:r>
    </w:p>
  </w:footnote>
  <w:footnote w:type="continuationSeparator" w:id="0">
    <w:p w:rsidR="004D1643" w:rsidRDefault="004D1643" w:rsidP="00FF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8640"/>
    </w:tblGrid>
    <w:tr w:rsidR="0075781C" w:rsidRPr="00B117B0" w:rsidTr="001C121F">
      <w:trPr>
        <w:trHeight w:val="276"/>
        <w:jc w:val="center"/>
      </w:trPr>
      <w:tc>
        <w:tcPr>
          <w:tcW w:w="1440" w:type="dxa"/>
          <w:vMerge w:val="restart"/>
          <w:vAlign w:val="center"/>
        </w:tcPr>
        <w:p w:rsidR="0075781C" w:rsidRPr="00B117B0" w:rsidRDefault="0075781C" w:rsidP="00162647">
          <w:pPr>
            <w:pStyle w:val="Encabezado"/>
            <w:jc w:val="center"/>
            <w:rPr>
              <w:rFonts w:cs="Arial"/>
              <w:szCs w:val="24"/>
            </w:rPr>
          </w:pPr>
          <w:r w:rsidRPr="00B117B0">
            <w:rPr>
              <w:rFonts w:cs="Arial"/>
              <w:noProof/>
              <w:szCs w:val="24"/>
              <w:lang w:val="es-ES" w:eastAsia="es-ES"/>
            </w:rPr>
            <w:drawing>
              <wp:inline distT="0" distB="0" distL="0" distR="0">
                <wp:extent cx="638175" cy="672985"/>
                <wp:effectExtent l="19050" t="0" r="9525" b="0"/>
                <wp:docPr id="2" name="Imagen 1" descr="escudo_Gris_S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Gris_SDP"/>
                        <pic:cNvPicPr>
                          <a:picLocks noChangeAspect="1" noChangeArrowheads="1"/>
                        </pic:cNvPicPr>
                      </pic:nvPicPr>
                      <pic:blipFill>
                        <a:blip r:embed="rId1"/>
                        <a:srcRect/>
                        <a:stretch>
                          <a:fillRect/>
                        </a:stretch>
                      </pic:blipFill>
                      <pic:spPr bwMode="auto">
                        <a:xfrm>
                          <a:off x="0" y="0"/>
                          <a:ext cx="638175" cy="672985"/>
                        </a:xfrm>
                        <a:prstGeom prst="rect">
                          <a:avLst/>
                        </a:prstGeom>
                        <a:noFill/>
                        <a:ln w="9525">
                          <a:noFill/>
                          <a:miter lim="800000"/>
                          <a:headEnd/>
                          <a:tailEnd/>
                        </a:ln>
                      </pic:spPr>
                    </pic:pic>
                  </a:graphicData>
                </a:graphic>
              </wp:inline>
            </w:drawing>
          </w:r>
        </w:p>
      </w:tc>
      <w:tc>
        <w:tcPr>
          <w:tcW w:w="8640" w:type="dxa"/>
          <w:vMerge w:val="restart"/>
          <w:vAlign w:val="center"/>
        </w:tcPr>
        <w:p w:rsidR="0075781C" w:rsidRPr="00B117B0" w:rsidRDefault="0075781C" w:rsidP="00162647">
          <w:pPr>
            <w:jc w:val="center"/>
            <w:rPr>
              <w:rFonts w:cs="Arial"/>
              <w:b/>
              <w:bCs/>
              <w:szCs w:val="24"/>
              <w:lang w:val="pt-BR" w:eastAsia="es-ES"/>
            </w:rPr>
          </w:pPr>
          <w:r w:rsidRPr="00B117B0">
            <w:rPr>
              <w:rFonts w:cs="Arial"/>
              <w:b/>
              <w:bCs/>
              <w:szCs w:val="24"/>
              <w:lang w:val="pt-BR" w:eastAsia="es-ES"/>
            </w:rPr>
            <w:t>S-FO-</w:t>
          </w:r>
          <w:proofErr w:type="gramStart"/>
          <w:r w:rsidRPr="00B117B0">
            <w:rPr>
              <w:rFonts w:cs="Arial"/>
              <w:b/>
              <w:bCs/>
              <w:szCs w:val="24"/>
              <w:lang w:val="pt-BR" w:eastAsia="es-ES"/>
            </w:rPr>
            <w:t>015  INFORME</w:t>
          </w:r>
          <w:proofErr w:type="gramEnd"/>
          <w:r w:rsidRPr="00B117B0">
            <w:rPr>
              <w:rFonts w:cs="Arial"/>
              <w:b/>
              <w:bCs/>
              <w:szCs w:val="24"/>
              <w:lang w:val="pt-BR" w:eastAsia="es-ES"/>
            </w:rPr>
            <w:t xml:space="preserve"> DE SEGUIMIENTO</w:t>
          </w:r>
        </w:p>
        <w:p w:rsidR="0075781C" w:rsidRPr="00B117B0" w:rsidRDefault="0075781C" w:rsidP="00162647">
          <w:pPr>
            <w:jc w:val="center"/>
            <w:rPr>
              <w:rFonts w:cs="Arial"/>
              <w:b/>
              <w:bCs/>
              <w:sz w:val="16"/>
              <w:szCs w:val="16"/>
              <w:lang w:val="es-ES_tradnl" w:eastAsia="es-ES"/>
            </w:rPr>
          </w:pPr>
          <w:r w:rsidRPr="00F27199">
            <w:rPr>
              <w:rFonts w:cs="Arial"/>
              <w:b/>
              <w:bCs/>
              <w:sz w:val="16"/>
              <w:szCs w:val="16"/>
              <w:lang w:val="es-ES_tradnl" w:eastAsia="es-ES"/>
            </w:rPr>
            <w:t xml:space="preserve">Versión </w:t>
          </w:r>
          <w:proofErr w:type="gramStart"/>
          <w:r w:rsidRPr="00F27199">
            <w:rPr>
              <w:rFonts w:cs="Arial"/>
              <w:b/>
              <w:bCs/>
              <w:sz w:val="16"/>
              <w:szCs w:val="16"/>
              <w:lang w:val="es-ES_tradnl" w:eastAsia="es-ES"/>
            </w:rPr>
            <w:t>4  acta</w:t>
          </w:r>
          <w:proofErr w:type="gramEnd"/>
          <w:r w:rsidRPr="00F27199">
            <w:rPr>
              <w:rFonts w:cs="Arial"/>
              <w:b/>
              <w:bCs/>
              <w:sz w:val="16"/>
              <w:szCs w:val="16"/>
              <w:lang w:val="es-ES_tradnl" w:eastAsia="es-ES"/>
            </w:rPr>
            <w:t xml:space="preserve"> de mejoramiento 300 de noviembre 16 de 2017 Proceso</w:t>
          </w:r>
          <w:r w:rsidRPr="00B117B0">
            <w:rPr>
              <w:rFonts w:cs="Arial"/>
              <w:b/>
              <w:bCs/>
              <w:sz w:val="16"/>
              <w:szCs w:val="16"/>
              <w:lang w:val="es-ES_tradnl" w:eastAsia="es-ES"/>
            </w:rPr>
            <w:t xml:space="preserve"> S-CA-001</w:t>
          </w:r>
        </w:p>
        <w:p w:rsidR="0075781C" w:rsidRPr="00B117B0" w:rsidRDefault="0075781C" w:rsidP="00162647">
          <w:pPr>
            <w:pStyle w:val="Encabezado"/>
            <w:jc w:val="center"/>
            <w:rPr>
              <w:rFonts w:cs="Arial"/>
              <w:b/>
              <w:spacing w:val="-3"/>
              <w:sz w:val="16"/>
              <w:szCs w:val="16"/>
            </w:rPr>
          </w:pPr>
          <w:r w:rsidRPr="00B117B0">
            <w:rPr>
              <w:rFonts w:cs="Arial"/>
              <w:b/>
              <w:bCs/>
              <w:sz w:val="16"/>
              <w:szCs w:val="16"/>
              <w:lang w:val="es-ES_tradnl" w:eastAsia="es-ES"/>
            </w:rPr>
            <w:t>OFICINA DE CONTROL INTERNO</w:t>
          </w:r>
        </w:p>
      </w:tc>
    </w:tr>
    <w:tr w:rsidR="0075781C" w:rsidTr="001C121F">
      <w:trPr>
        <w:trHeight w:val="276"/>
        <w:jc w:val="center"/>
      </w:trPr>
      <w:tc>
        <w:tcPr>
          <w:tcW w:w="1440" w:type="dxa"/>
          <w:vMerge/>
          <w:vAlign w:val="center"/>
        </w:tcPr>
        <w:p w:rsidR="0075781C" w:rsidRPr="00F43BE7" w:rsidRDefault="0075781C" w:rsidP="00162647">
          <w:pPr>
            <w:pStyle w:val="Encabezado"/>
            <w:jc w:val="center"/>
            <w:rPr>
              <w:szCs w:val="24"/>
            </w:rPr>
          </w:pPr>
        </w:p>
      </w:tc>
      <w:tc>
        <w:tcPr>
          <w:tcW w:w="8640" w:type="dxa"/>
          <w:vMerge/>
          <w:vAlign w:val="center"/>
        </w:tcPr>
        <w:p w:rsidR="0075781C" w:rsidRDefault="0075781C" w:rsidP="00162647">
          <w:pPr>
            <w:pStyle w:val="Encabezado"/>
            <w:jc w:val="center"/>
            <w:rPr>
              <w:b/>
            </w:rPr>
          </w:pPr>
        </w:p>
      </w:tc>
    </w:tr>
    <w:tr w:rsidR="0075781C" w:rsidTr="001C121F">
      <w:trPr>
        <w:trHeight w:val="585"/>
        <w:jc w:val="center"/>
      </w:trPr>
      <w:tc>
        <w:tcPr>
          <w:tcW w:w="1440" w:type="dxa"/>
          <w:vMerge/>
          <w:vAlign w:val="center"/>
        </w:tcPr>
        <w:p w:rsidR="0075781C" w:rsidRPr="00F43BE7" w:rsidRDefault="0075781C" w:rsidP="00162647">
          <w:pPr>
            <w:pStyle w:val="Encabezado"/>
            <w:jc w:val="center"/>
            <w:rPr>
              <w:szCs w:val="24"/>
            </w:rPr>
          </w:pPr>
        </w:p>
      </w:tc>
      <w:tc>
        <w:tcPr>
          <w:tcW w:w="8640" w:type="dxa"/>
          <w:vMerge/>
          <w:vAlign w:val="center"/>
        </w:tcPr>
        <w:p w:rsidR="0075781C" w:rsidRDefault="0075781C" w:rsidP="00162647">
          <w:pPr>
            <w:pStyle w:val="Encabezado"/>
            <w:jc w:val="center"/>
            <w:rPr>
              <w:b/>
            </w:rPr>
          </w:pPr>
        </w:p>
      </w:tc>
    </w:tr>
  </w:tbl>
  <w:p w:rsidR="0075781C" w:rsidRPr="00011BA5" w:rsidRDefault="0075781C" w:rsidP="00011B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47CBE"/>
    <w:multiLevelType w:val="hybridMultilevel"/>
    <w:tmpl w:val="A956D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F06A8"/>
    <w:multiLevelType w:val="multilevel"/>
    <w:tmpl w:val="D846B15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bCs w:val="0"/>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313568BA"/>
    <w:multiLevelType w:val="hybridMultilevel"/>
    <w:tmpl w:val="E2207EFC"/>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 w15:restartNumberingAfterBreak="0">
    <w:nsid w:val="4846706C"/>
    <w:multiLevelType w:val="hybridMultilevel"/>
    <w:tmpl w:val="3B5CC5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B314371"/>
    <w:multiLevelType w:val="multilevel"/>
    <w:tmpl w:val="2E62BA7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b/>
        <w:bCs w:val="0"/>
        <w:i w:val="0"/>
        <w:iCs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7D015731"/>
    <w:multiLevelType w:val="hybridMultilevel"/>
    <w:tmpl w:val="4A668A9E"/>
    <w:lvl w:ilvl="0" w:tplc="9820A21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90"/>
    <w:rsid w:val="000009F2"/>
    <w:rsid w:val="00000BBA"/>
    <w:rsid w:val="000024D8"/>
    <w:rsid w:val="00002981"/>
    <w:rsid w:val="00002EB2"/>
    <w:rsid w:val="00004ACF"/>
    <w:rsid w:val="00006DF0"/>
    <w:rsid w:val="000102ED"/>
    <w:rsid w:val="000104EE"/>
    <w:rsid w:val="00011141"/>
    <w:rsid w:val="00011BA5"/>
    <w:rsid w:val="00013BF5"/>
    <w:rsid w:val="00013F1D"/>
    <w:rsid w:val="00014845"/>
    <w:rsid w:val="00015445"/>
    <w:rsid w:val="000170A7"/>
    <w:rsid w:val="00017D49"/>
    <w:rsid w:val="00020AE6"/>
    <w:rsid w:val="00020C56"/>
    <w:rsid w:val="00021F47"/>
    <w:rsid w:val="00022519"/>
    <w:rsid w:val="00022FA4"/>
    <w:rsid w:val="00023642"/>
    <w:rsid w:val="000236A0"/>
    <w:rsid w:val="00024A62"/>
    <w:rsid w:val="0002630D"/>
    <w:rsid w:val="000275A0"/>
    <w:rsid w:val="000321C2"/>
    <w:rsid w:val="00032597"/>
    <w:rsid w:val="00032FB9"/>
    <w:rsid w:val="00034896"/>
    <w:rsid w:val="00034EFB"/>
    <w:rsid w:val="000350DC"/>
    <w:rsid w:val="00036663"/>
    <w:rsid w:val="000370ED"/>
    <w:rsid w:val="0003725E"/>
    <w:rsid w:val="00037879"/>
    <w:rsid w:val="00037FA8"/>
    <w:rsid w:val="00043BBE"/>
    <w:rsid w:val="00043DD2"/>
    <w:rsid w:val="000449EF"/>
    <w:rsid w:val="00045878"/>
    <w:rsid w:val="000459E2"/>
    <w:rsid w:val="0004644E"/>
    <w:rsid w:val="00050E9C"/>
    <w:rsid w:val="00051C9C"/>
    <w:rsid w:val="000527AC"/>
    <w:rsid w:val="000540A0"/>
    <w:rsid w:val="0005498E"/>
    <w:rsid w:val="00055154"/>
    <w:rsid w:val="000553EF"/>
    <w:rsid w:val="00056013"/>
    <w:rsid w:val="00057953"/>
    <w:rsid w:val="00060821"/>
    <w:rsid w:val="00060857"/>
    <w:rsid w:val="00061303"/>
    <w:rsid w:val="0006142C"/>
    <w:rsid w:val="000627A8"/>
    <w:rsid w:val="0006445F"/>
    <w:rsid w:val="000659AE"/>
    <w:rsid w:val="00065AD5"/>
    <w:rsid w:val="00065AE9"/>
    <w:rsid w:val="00065DA3"/>
    <w:rsid w:val="00071A37"/>
    <w:rsid w:val="00071CCD"/>
    <w:rsid w:val="0007225B"/>
    <w:rsid w:val="0007348D"/>
    <w:rsid w:val="000744DC"/>
    <w:rsid w:val="00080430"/>
    <w:rsid w:val="000849C3"/>
    <w:rsid w:val="000870C3"/>
    <w:rsid w:val="000876E9"/>
    <w:rsid w:val="00087816"/>
    <w:rsid w:val="00090334"/>
    <w:rsid w:val="00091F33"/>
    <w:rsid w:val="00092C3B"/>
    <w:rsid w:val="00093B62"/>
    <w:rsid w:val="00094DDC"/>
    <w:rsid w:val="00097095"/>
    <w:rsid w:val="000A28CA"/>
    <w:rsid w:val="000A29EB"/>
    <w:rsid w:val="000A3594"/>
    <w:rsid w:val="000A5D00"/>
    <w:rsid w:val="000A7974"/>
    <w:rsid w:val="000B0ED1"/>
    <w:rsid w:val="000B13F8"/>
    <w:rsid w:val="000B21D0"/>
    <w:rsid w:val="000B3F3F"/>
    <w:rsid w:val="000B5080"/>
    <w:rsid w:val="000B6819"/>
    <w:rsid w:val="000B69AC"/>
    <w:rsid w:val="000C1C7B"/>
    <w:rsid w:val="000C1D5D"/>
    <w:rsid w:val="000C473A"/>
    <w:rsid w:val="000C5A01"/>
    <w:rsid w:val="000C7ACA"/>
    <w:rsid w:val="000C7BEB"/>
    <w:rsid w:val="000D178E"/>
    <w:rsid w:val="000D17E7"/>
    <w:rsid w:val="000D3AD9"/>
    <w:rsid w:val="000D5989"/>
    <w:rsid w:val="000D6449"/>
    <w:rsid w:val="000D6D89"/>
    <w:rsid w:val="000E0605"/>
    <w:rsid w:val="000E097F"/>
    <w:rsid w:val="000E1D1E"/>
    <w:rsid w:val="000E42FC"/>
    <w:rsid w:val="000E5C9B"/>
    <w:rsid w:val="000E5F7A"/>
    <w:rsid w:val="000E6AE3"/>
    <w:rsid w:val="000F0089"/>
    <w:rsid w:val="000F0549"/>
    <w:rsid w:val="000F10DD"/>
    <w:rsid w:val="000F160F"/>
    <w:rsid w:val="000F3347"/>
    <w:rsid w:val="000F3A70"/>
    <w:rsid w:val="000F4100"/>
    <w:rsid w:val="000F55B9"/>
    <w:rsid w:val="000F55F9"/>
    <w:rsid w:val="000F695C"/>
    <w:rsid w:val="000F6A3F"/>
    <w:rsid w:val="0010166F"/>
    <w:rsid w:val="00102BC3"/>
    <w:rsid w:val="001053E7"/>
    <w:rsid w:val="00106C91"/>
    <w:rsid w:val="001108C5"/>
    <w:rsid w:val="001108E1"/>
    <w:rsid w:val="00112713"/>
    <w:rsid w:val="00113CC1"/>
    <w:rsid w:val="0011528D"/>
    <w:rsid w:val="00117DBF"/>
    <w:rsid w:val="001206E0"/>
    <w:rsid w:val="00120E26"/>
    <w:rsid w:val="001211C6"/>
    <w:rsid w:val="001255C6"/>
    <w:rsid w:val="0012596F"/>
    <w:rsid w:val="00125FDC"/>
    <w:rsid w:val="001271F5"/>
    <w:rsid w:val="001310FB"/>
    <w:rsid w:val="00131E0F"/>
    <w:rsid w:val="0013445F"/>
    <w:rsid w:val="00134A7C"/>
    <w:rsid w:val="00134C1B"/>
    <w:rsid w:val="00134E0E"/>
    <w:rsid w:val="001365D8"/>
    <w:rsid w:val="00136766"/>
    <w:rsid w:val="00136E85"/>
    <w:rsid w:val="00137F60"/>
    <w:rsid w:val="0014007F"/>
    <w:rsid w:val="0014188D"/>
    <w:rsid w:val="00143841"/>
    <w:rsid w:val="00143DBD"/>
    <w:rsid w:val="00144402"/>
    <w:rsid w:val="0014578B"/>
    <w:rsid w:val="00146FDB"/>
    <w:rsid w:val="00147A04"/>
    <w:rsid w:val="00147BED"/>
    <w:rsid w:val="00147CA0"/>
    <w:rsid w:val="00150E52"/>
    <w:rsid w:val="0015116B"/>
    <w:rsid w:val="00151618"/>
    <w:rsid w:val="0015186B"/>
    <w:rsid w:val="00151D41"/>
    <w:rsid w:val="001522AB"/>
    <w:rsid w:val="001565C1"/>
    <w:rsid w:val="00156850"/>
    <w:rsid w:val="00160073"/>
    <w:rsid w:val="001609E0"/>
    <w:rsid w:val="00160A02"/>
    <w:rsid w:val="001615C0"/>
    <w:rsid w:val="00162647"/>
    <w:rsid w:val="00162D7E"/>
    <w:rsid w:val="001663A6"/>
    <w:rsid w:val="001666C6"/>
    <w:rsid w:val="0016754F"/>
    <w:rsid w:val="00167927"/>
    <w:rsid w:val="00167E7E"/>
    <w:rsid w:val="00171269"/>
    <w:rsid w:val="0017132E"/>
    <w:rsid w:val="00171E54"/>
    <w:rsid w:val="0017258B"/>
    <w:rsid w:val="00172BDB"/>
    <w:rsid w:val="00172F6C"/>
    <w:rsid w:val="0017311B"/>
    <w:rsid w:val="001737DB"/>
    <w:rsid w:val="00174FB8"/>
    <w:rsid w:val="00175CC4"/>
    <w:rsid w:val="00175D32"/>
    <w:rsid w:val="00177188"/>
    <w:rsid w:val="001779DC"/>
    <w:rsid w:val="00181238"/>
    <w:rsid w:val="0018157C"/>
    <w:rsid w:val="001824B3"/>
    <w:rsid w:val="001825F5"/>
    <w:rsid w:val="00182781"/>
    <w:rsid w:val="0018339E"/>
    <w:rsid w:val="001841B0"/>
    <w:rsid w:val="00184A46"/>
    <w:rsid w:val="001856C2"/>
    <w:rsid w:val="00185CB2"/>
    <w:rsid w:val="00186AB7"/>
    <w:rsid w:val="001878A7"/>
    <w:rsid w:val="00191CB7"/>
    <w:rsid w:val="00192B24"/>
    <w:rsid w:val="00192C1D"/>
    <w:rsid w:val="001936DB"/>
    <w:rsid w:val="00193A04"/>
    <w:rsid w:val="00193D65"/>
    <w:rsid w:val="00194FDF"/>
    <w:rsid w:val="00196AF3"/>
    <w:rsid w:val="001A0C64"/>
    <w:rsid w:val="001A0DF4"/>
    <w:rsid w:val="001A161B"/>
    <w:rsid w:val="001A20DF"/>
    <w:rsid w:val="001A321C"/>
    <w:rsid w:val="001A34D6"/>
    <w:rsid w:val="001A4AEA"/>
    <w:rsid w:val="001A569C"/>
    <w:rsid w:val="001A7680"/>
    <w:rsid w:val="001B2624"/>
    <w:rsid w:val="001B4158"/>
    <w:rsid w:val="001B4277"/>
    <w:rsid w:val="001B4E3A"/>
    <w:rsid w:val="001B5F2F"/>
    <w:rsid w:val="001B615A"/>
    <w:rsid w:val="001B7C0E"/>
    <w:rsid w:val="001C121F"/>
    <w:rsid w:val="001C2411"/>
    <w:rsid w:val="001C331C"/>
    <w:rsid w:val="001C34B8"/>
    <w:rsid w:val="001C42D2"/>
    <w:rsid w:val="001C43F8"/>
    <w:rsid w:val="001C502B"/>
    <w:rsid w:val="001C6310"/>
    <w:rsid w:val="001C679A"/>
    <w:rsid w:val="001D02E0"/>
    <w:rsid w:val="001D055B"/>
    <w:rsid w:val="001D4926"/>
    <w:rsid w:val="001D68B6"/>
    <w:rsid w:val="001D6F88"/>
    <w:rsid w:val="001E0AE8"/>
    <w:rsid w:val="001E1BCC"/>
    <w:rsid w:val="001E44AB"/>
    <w:rsid w:val="001E469A"/>
    <w:rsid w:val="001E4AF7"/>
    <w:rsid w:val="001E4DB2"/>
    <w:rsid w:val="001E4ED2"/>
    <w:rsid w:val="001E5343"/>
    <w:rsid w:val="001F2017"/>
    <w:rsid w:val="001F2420"/>
    <w:rsid w:val="001F3BE5"/>
    <w:rsid w:val="001F58C1"/>
    <w:rsid w:val="001F59BF"/>
    <w:rsid w:val="001F5A32"/>
    <w:rsid w:val="001F5D5B"/>
    <w:rsid w:val="001F6B43"/>
    <w:rsid w:val="001F7183"/>
    <w:rsid w:val="00201544"/>
    <w:rsid w:val="002022D5"/>
    <w:rsid w:val="00203DB5"/>
    <w:rsid w:val="00204381"/>
    <w:rsid w:val="00204A69"/>
    <w:rsid w:val="00205EA8"/>
    <w:rsid w:val="002060C8"/>
    <w:rsid w:val="0020685B"/>
    <w:rsid w:val="00207198"/>
    <w:rsid w:val="002105DF"/>
    <w:rsid w:val="00210D3A"/>
    <w:rsid w:val="00211E4E"/>
    <w:rsid w:val="002129EB"/>
    <w:rsid w:val="00216ABD"/>
    <w:rsid w:val="00216E62"/>
    <w:rsid w:val="00224222"/>
    <w:rsid w:val="002265E8"/>
    <w:rsid w:val="002275C2"/>
    <w:rsid w:val="00230DC6"/>
    <w:rsid w:val="0023388E"/>
    <w:rsid w:val="00240262"/>
    <w:rsid w:val="0024094D"/>
    <w:rsid w:val="00240A68"/>
    <w:rsid w:val="00240DE1"/>
    <w:rsid w:val="002416DE"/>
    <w:rsid w:val="00241BA7"/>
    <w:rsid w:val="00243319"/>
    <w:rsid w:val="00243938"/>
    <w:rsid w:val="00244A3E"/>
    <w:rsid w:val="00245502"/>
    <w:rsid w:val="002457D4"/>
    <w:rsid w:val="00246F31"/>
    <w:rsid w:val="00247B7D"/>
    <w:rsid w:val="00253216"/>
    <w:rsid w:val="00254CD0"/>
    <w:rsid w:val="002558A7"/>
    <w:rsid w:val="00255A32"/>
    <w:rsid w:val="00256E79"/>
    <w:rsid w:val="00256E89"/>
    <w:rsid w:val="00260AD5"/>
    <w:rsid w:val="00262753"/>
    <w:rsid w:val="00263BC9"/>
    <w:rsid w:val="002656F6"/>
    <w:rsid w:val="00265DA6"/>
    <w:rsid w:val="00270243"/>
    <w:rsid w:val="00271648"/>
    <w:rsid w:val="002728A1"/>
    <w:rsid w:val="00273569"/>
    <w:rsid w:val="00273CC2"/>
    <w:rsid w:val="0027533A"/>
    <w:rsid w:val="00275881"/>
    <w:rsid w:val="00277ABD"/>
    <w:rsid w:val="002800FC"/>
    <w:rsid w:val="00280BE7"/>
    <w:rsid w:val="00284E83"/>
    <w:rsid w:val="00285514"/>
    <w:rsid w:val="0028667D"/>
    <w:rsid w:val="002915C5"/>
    <w:rsid w:val="0029448F"/>
    <w:rsid w:val="00294846"/>
    <w:rsid w:val="002949E1"/>
    <w:rsid w:val="002956AA"/>
    <w:rsid w:val="00295F10"/>
    <w:rsid w:val="00296705"/>
    <w:rsid w:val="00297941"/>
    <w:rsid w:val="002A2A7A"/>
    <w:rsid w:val="002A37FC"/>
    <w:rsid w:val="002A5819"/>
    <w:rsid w:val="002B00D9"/>
    <w:rsid w:val="002B1871"/>
    <w:rsid w:val="002B37C5"/>
    <w:rsid w:val="002B5A4A"/>
    <w:rsid w:val="002B6617"/>
    <w:rsid w:val="002B6C3B"/>
    <w:rsid w:val="002C0CE7"/>
    <w:rsid w:val="002C121E"/>
    <w:rsid w:val="002C5BB3"/>
    <w:rsid w:val="002C6CBC"/>
    <w:rsid w:val="002D0AF7"/>
    <w:rsid w:val="002D16E5"/>
    <w:rsid w:val="002D17E5"/>
    <w:rsid w:val="002D1978"/>
    <w:rsid w:val="002D2DE2"/>
    <w:rsid w:val="002D4831"/>
    <w:rsid w:val="002D5CF1"/>
    <w:rsid w:val="002D68CD"/>
    <w:rsid w:val="002D6B15"/>
    <w:rsid w:val="002D75ED"/>
    <w:rsid w:val="002E218B"/>
    <w:rsid w:val="002E2E7E"/>
    <w:rsid w:val="002E3D57"/>
    <w:rsid w:val="002E3DAA"/>
    <w:rsid w:val="002E4FD9"/>
    <w:rsid w:val="002E5C1D"/>
    <w:rsid w:val="002E6A7B"/>
    <w:rsid w:val="002E7ACA"/>
    <w:rsid w:val="002E7B0C"/>
    <w:rsid w:val="002F0779"/>
    <w:rsid w:val="002F12C6"/>
    <w:rsid w:val="002F187F"/>
    <w:rsid w:val="002F5E8B"/>
    <w:rsid w:val="002F6BDA"/>
    <w:rsid w:val="002F6EEE"/>
    <w:rsid w:val="002F725B"/>
    <w:rsid w:val="00303B5E"/>
    <w:rsid w:val="00304E89"/>
    <w:rsid w:val="00305795"/>
    <w:rsid w:val="0031553A"/>
    <w:rsid w:val="003159FB"/>
    <w:rsid w:val="00315B31"/>
    <w:rsid w:val="0031739D"/>
    <w:rsid w:val="00317B3C"/>
    <w:rsid w:val="003211EC"/>
    <w:rsid w:val="00321B72"/>
    <w:rsid w:val="00322EB3"/>
    <w:rsid w:val="00325B1B"/>
    <w:rsid w:val="00325B71"/>
    <w:rsid w:val="003279FD"/>
    <w:rsid w:val="00330AA2"/>
    <w:rsid w:val="0033202E"/>
    <w:rsid w:val="00333CFD"/>
    <w:rsid w:val="00334422"/>
    <w:rsid w:val="00334AFD"/>
    <w:rsid w:val="00334FF1"/>
    <w:rsid w:val="003350D4"/>
    <w:rsid w:val="0033573C"/>
    <w:rsid w:val="00336708"/>
    <w:rsid w:val="0033686F"/>
    <w:rsid w:val="003376D2"/>
    <w:rsid w:val="00341AB1"/>
    <w:rsid w:val="00342271"/>
    <w:rsid w:val="00344495"/>
    <w:rsid w:val="003465AF"/>
    <w:rsid w:val="00350261"/>
    <w:rsid w:val="00350EC1"/>
    <w:rsid w:val="00350F21"/>
    <w:rsid w:val="00350FA8"/>
    <w:rsid w:val="00351512"/>
    <w:rsid w:val="00351CAD"/>
    <w:rsid w:val="003522EB"/>
    <w:rsid w:val="00354126"/>
    <w:rsid w:val="003563CF"/>
    <w:rsid w:val="0035701F"/>
    <w:rsid w:val="00357440"/>
    <w:rsid w:val="00360F34"/>
    <w:rsid w:val="0036145E"/>
    <w:rsid w:val="003623BB"/>
    <w:rsid w:val="00363271"/>
    <w:rsid w:val="00365B69"/>
    <w:rsid w:val="003702EA"/>
    <w:rsid w:val="00371755"/>
    <w:rsid w:val="00372701"/>
    <w:rsid w:val="00372BF2"/>
    <w:rsid w:val="00372EA0"/>
    <w:rsid w:val="0037376A"/>
    <w:rsid w:val="00377AA9"/>
    <w:rsid w:val="00380AA1"/>
    <w:rsid w:val="003835C7"/>
    <w:rsid w:val="003861B8"/>
    <w:rsid w:val="00386A46"/>
    <w:rsid w:val="0038723E"/>
    <w:rsid w:val="00387EE6"/>
    <w:rsid w:val="0039202E"/>
    <w:rsid w:val="003929B7"/>
    <w:rsid w:val="00393FBC"/>
    <w:rsid w:val="00394B88"/>
    <w:rsid w:val="003969E0"/>
    <w:rsid w:val="003A0B39"/>
    <w:rsid w:val="003A30A2"/>
    <w:rsid w:val="003A31FA"/>
    <w:rsid w:val="003A43D8"/>
    <w:rsid w:val="003A5426"/>
    <w:rsid w:val="003B06E2"/>
    <w:rsid w:val="003B08FC"/>
    <w:rsid w:val="003B1D19"/>
    <w:rsid w:val="003B24BB"/>
    <w:rsid w:val="003B28A5"/>
    <w:rsid w:val="003B3056"/>
    <w:rsid w:val="003B4812"/>
    <w:rsid w:val="003B5A86"/>
    <w:rsid w:val="003B6F3D"/>
    <w:rsid w:val="003C2B6C"/>
    <w:rsid w:val="003C42A8"/>
    <w:rsid w:val="003C4B68"/>
    <w:rsid w:val="003C5B37"/>
    <w:rsid w:val="003C6419"/>
    <w:rsid w:val="003C74AA"/>
    <w:rsid w:val="003D0721"/>
    <w:rsid w:val="003D12E4"/>
    <w:rsid w:val="003D4059"/>
    <w:rsid w:val="003D7EE3"/>
    <w:rsid w:val="003E0038"/>
    <w:rsid w:val="003E147D"/>
    <w:rsid w:val="003E2C42"/>
    <w:rsid w:val="003E4877"/>
    <w:rsid w:val="003E4D67"/>
    <w:rsid w:val="003E5090"/>
    <w:rsid w:val="003E5C19"/>
    <w:rsid w:val="003E5E99"/>
    <w:rsid w:val="003E608C"/>
    <w:rsid w:val="003F098C"/>
    <w:rsid w:val="003F1D80"/>
    <w:rsid w:val="003F2F66"/>
    <w:rsid w:val="003F30ED"/>
    <w:rsid w:val="003F3473"/>
    <w:rsid w:val="003F3EB9"/>
    <w:rsid w:val="003F431E"/>
    <w:rsid w:val="003F4A2F"/>
    <w:rsid w:val="003F50B0"/>
    <w:rsid w:val="003F5B63"/>
    <w:rsid w:val="003F62DA"/>
    <w:rsid w:val="003F74D1"/>
    <w:rsid w:val="00402582"/>
    <w:rsid w:val="004027F4"/>
    <w:rsid w:val="004030CD"/>
    <w:rsid w:val="00403E49"/>
    <w:rsid w:val="00406ADB"/>
    <w:rsid w:val="0040701F"/>
    <w:rsid w:val="00410046"/>
    <w:rsid w:val="004102DB"/>
    <w:rsid w:val="004105DF"/>
    <w:rsid w:val="00413227"/>
    <w:rsid w:val="004135BB"/>
    <w:rsid w:val="0041396D"/>
    <w:rsid w:val="004144D5"/>
    <w:rsid w:val="00415670"/>
    <w:rsid w:val="0041752F"/>
    <w:rsid w:val="00421080"/>
    <w:rsid w:val="00421BCB"/>
    <w:rsid w:val="004221B0"/>
    <w:rsid w:val="00423DDB"/>
    <w:rsid w:val="0042402C"/>
    <w:rsid w:val="00426A0F"/>
    <w:rsid w:val="00426C25"/>
    <w:rsid w:val="004317BC"/>
    <w:rsid w:val="00431C1E"/>
    <w:rsid w:val="004331B2"/>
    <w:rsid w:val="00433E64"/>
    <w:rsid w:val="004344C5"/>
    <w:rsid w:val="00440ADE"/>
    <w:rsid w:val="00440B04"/>
    <w:rsid w:val="004416ED"/>
    <w:rsid w:val="00441840"/>
    <w:rsid w:val="00441A09"/>
    <w:rsid w:val="00441CEA"/>
    <w:rsid w:val="00443420"/>
    <w:rsid w:val="00444803"/>
    <w:rsid w:val="00444913"/>
    <w:rsid w:val="004452A5"/>
    <w:rsid w:val="0044532B"/>
    <w:rsid w:val="004458EA"/>
    <w:rsid w:val="004459BB"/>
    <w:rsid w:val="00445C1A"/>
    <w:rsid w:val="0044606E"/>
    <w:rsid w:val="004501DD"/>
    <w:rsid w:val="00452596"/>
    <w:rsid w:val="00452969"/>
    <w:rsid w:val="00452E3F"/>
    <w:rsid w:val="00453AE7"/>
    <w:rsid w:val="00454076"/>
    <w:rsid w:val="00454F21"/>
    <w:rsid w:val="0045655A"/>
    <w:rsid w:val="004569F5"/>
    <w:rsid w:val="00457AE0"/>
    <w:rsid w:val="00460D6D"/>
    <w:rsid w:val="0046373C"/>
    <w:rsid w:val="00463D1A"/>
    <w:rsid w:val="0046593E"/>
    <w:rsid w:val="004668DE"/>
    <w:rsid w:val="004672FA"/>
    <w:rsid w:val="00471FB5"/>
    <w:rsid w:val="0047275A"/>
    <w:rsid w:val="0047369F"/>
    <w:rsid w:val="00475D2C"/>
    <w:rsid w:val="00476FB1"/>
    <w:rsid w:val="00477EAB"/>
    <w:rsid w:val="00481964"/>
    <w:rsid w:val="004877BB"/>
    <w:rsid w:val="004901F4"/>
    <w:rsid w:val="00490C53"/>
    <w:rsid w:val="00492C9D"/>
    <w:rsid w:val="004948C8"/>
    <w:rsid w:val="004977BE"/>
    <w:rsid w:val="004979E0"/>
    <w:rsid w:val="004A0157"/>
    <w:rsid w:val="004A327C"/>
    <w:rsid w:val="004A3B3D"/>
    <w:rsid w:val="004A480F"/>
    <w:rsid w:val="004A4DF9"/>
    <w:rsid w:val="004A5F40"/>
    <w:rsid w:val="004A68B3"/>
    <w:rsid w:val="004A6C5D"/>
    <w:rsid w:val="004A7131"/>
    <w:rsid w:val="004A776A"/>
    <w:rsid w:val="004B09BE"/>
    <w:rsid w:val="004B11FA"/>
    <w:rsid w:val="004B474A"/>
    <w:rsid w:val="004B518B"/>
    <w:rsid w:val="004B646B"/>
    <w:rsid w:val="004B7331"/>
    <w:rsid w:val="004B774F"/>
    <w:rsid w:val="004B7D1F"/>
    <w:rsid w:val="004C148D"/>
    <w:rsid w:val="004C14B6"/>
    <w:rsid w:val="004C2BCB"/>
    <w:rsid w:val="004C3BCB"/>
    <w:rsid w:val="004C4037"/>
    <w:rsid w:val="004C444B"/>
    <w:rsid w:val="004C537B"/>
    <w:rsid w:val="004C53DC"/>
    <w:rsid w:val="004C6C63"/>
    <w:rsid w:val="004D1643"/>
    <w:rsid w:val="004D2222"/>
    <w:rsid w:val="004D3B4F"/>
    <w:rsid w:val="004D5C53"/>
    <w:rsid w:val="004D685B"/>
    <w:rsid w:val="004D750D"/>
    <w:rsid w:val="004E09CA"/>
    <w:rsid w:val="004E0E41"/>
    <w:rsid w:val="004E0F38"/>
    <w:rsid w:val="004E1EB0"/>
    <w:rsid w:val="004E2921"/>
    <w:rsid w:val="004E2BF3"/>
    <w:rsid w:val="004E4017"/>
    <w:rsid w:val="004E4520"/>
    <w:rsid w:val="004E4DF2"/>
    <w:rsid w:val="004E5173"/>
    <w:rsid w:val="004E53AA"/>
    <w:rsid w:val="004E5AE8"/>
    <w:rsid w:val="004E6EE4"/>
    <w:rsid w:val="004E72EA"/>
    <w:rsid w:val="004F0287"/>
    <w:rsid w:val="004F0E27"/>
    <w:rsid w:val="004F23B3"/>
    <w:rsid w:val="004F28B0"/>
    <w:rsid w:val="004F2AE5"/>
    <w:rsid w:val="004F33AB"/>
    <w:rsid w:val="004F675D"/>
    <w:rsid w:val="004F6BF7"/>
    <w:rsid w:val="00500620"/>
    <w:rsid w:val="00501A41"/>
    <w:rsid w:val="00503509"/>
    <w:rsid w:val="00503F42"/>
    <w:rsid w:val="00504300"/>
    <w:rsid w:val="00504584"/>
    <w:rsid w:val="00504646"/>
    <w:rsid w:val="005054EC"/>
    <w:rsid w:val="00510988"/>
    <w:rsid w:val="00510DD0"/>
    <w:rsid w:val="0051250F"/>
    <w:rsid w:val="005132FD"/>
    <w:rsid w:val="00513784"/>
    <w:rsid w:val="005141FA"/>
    <w:rsid w:val="0051685F"/>
    <w:rsid w:val="00517E9D"/>
    <w:rsid w:val="00520055"/>
    <w:rsid w:val="00520F51"/>
    <w:rsid w:val="005212C5"/>
    <w:rsid w:val="00521313"/>
    <w:rsid w:val="00521446"/>
    <w:rsid w:val="005226B7"/>
    <w:rsid w:val="00523A7B"/>
    <w:rsid w:val="00523E02"/>
    <w:rsid w:val="005241B6"/>
    <w:rsid w:val="00525310"/>
    <w:rsid w:val="00526B82"/>
    <w:rsid w:val="005316F0"/>
    <w:rsid w:val="0053283F"/>
    <w:rsid w:val="005330FD"/>
    <w:rsid w:val="00533CD8"/>
    <w:rsid w:val="00533F1B"/>
    <w:rsid w:val="0053458E"/>
    <w:rsid w:val="00537450"/>
    <w:rsid w:val="0054039E"/>
    <w:rsid w:val="0054123B"/>
    <w:rsid w:val="0054172B"/>
    <w:rsid w:val="005434C5"/>
    <w:rsid w:val="005438AA"/>
    <w:rsid w:val="005447E4"/>
    <w:rsid w:val="005447F7"/>
    <w:rsid w:val="0055080D"/>
    <w:rsid w:val="00552748"/>
    <w:rsid w:val="00553AC0"/>
    <w:rsid w:val="00553F40"/>
    <w:rsid w:val="00555DE4"/>
    <w:rsid w:val="00557045"/>
    <w:rsid w:val="00557D49"/>
    <w:rsid w:val="005606EF"/>
    <w:rsid w:val="0056096C"/>
    <w:rsid w:val="00562D1E"/>
    <w:rsid w:val="00563851"/>
    <w:rsid w:val="00565BAF"/>
    <w:rsid w:val="00566F30"/>
    <w:rsid w:val="0057552D"/>
    <w:rsid w:val="0057573C"/>
    <w:rsid w:val="00576445"/>
    <w:rsid w:val="00576913"/>
    <w:rsid w:val="005804D2"/>
    <w:rsid w:val="00580AF1"/>
    <w:rsid w:val="0058247F"/>
    <w:rsid w:val="00582ABB"/>
    <w:rsid w:val="00583A00"/>
    <w:rsid w:val="005844F9"/>
    <w:rsid w:val="005849AC"/>
    <w:rsid w:val="0058766F"/>
    <w:rsid w:val="00590933"/>
    <w:rsid w:val="00592536"/>
    <w:rsid w:val="005925A9"/>
    <w:rsid w:val="00592D24"/>
    <w:rsid w:val="00593D2F"/>
    <w:rsid w:val="005942EA"/>
    <w:rsid w:val="0059439E"/>
    <w:rsid w:val="00594D2E"/>
    <w:rsid w:val="0059523B"/>
    <w:rsid w:val="0059596C"/>
    <w:rsid w:val="0059600A"/>
    <w:rsid w:val="005965BF"/>
    <w:rsid w:val="00596927"/>
    <w:rsid w:val="00596BE3"/>
    <w:rsid w:val="005A056F"/>
    <w:rsid w:val="005A11B6"/>
    <w:rsid w:val="005A20D7"/>
    <w:rsid w:val="005A2799"/>
    <w:rsid w:val="005A3F71"/>
    <w:rsid w:val="005A582A"/>
    <w:rsid w:val="005A5A07"/>
    <w:rsid w:val="005A70D8"/>
    <w:rsid w:val="005B0859"/>
    <w:rsid w:val="005B0E31"/>
    <w:rsid w:val="005B1189"/>
    <w:rsid w:val="005B1530"/>
    <w:rsid w:val="005B180C"/>
    <w:rsid w:val="005B2081"/>
    <w:rsid w:val="005B5780"/>
    <w:rsid w:val="005B651F"/>
    <w:rsid w:val="005B7E6B"/>
    <w:rsid w:val="005C004F"/>
    <w:rsid w:val="005C05CE"/>
    <w:rsid w:val="005C0938"/>
    <w:rsid w:val="005C2701"/>
    <w:rsid w:val="005C3E8E"/>
    <w:rsid w:val="005C462B"/>
    <w:rsid w:val="005C5737"/>
    <w:rsid w:val="005C6904"/>
    <w:rsid w:val="005D09E0"/>
    <w:rsid w:val="005D10E8"/>
    <w:rsid w:val="005D2580"/>
    <w:rsid w:val="005D25EF"/>
    <w:rsid w:val="005D2981"/>
    <w:rsid w:val="005D2E39"/>
    <w:rsid w:val="005D3FEE"/>
    <w:rsid w:val="005D46C7"/>
    <w:rsid w:val="005D48F7"/>
    <w:rsid w:val="005D5358"/>
    <w:rsid w:val="005D5DAF"/>
    <w:rsid w:val="005D67BC"/>
    <w:rsid w:val="005D782E"/>
    <w:rsid w:val="005E1E79"/>
    <w:rsid w:val="005E46D2"/>
    <w:rsid w:val="005E4A69"/>
    <w:rsid w:val="005E4CC3"/>
    <w:rsid w:val="005E7577"/>
    <w:rsid w:val="005E7AD5"/>
    <w:rsid w:val="005F0649"/>
    <w:rsid w:val="005F1464"/>
    <w:rsid w:val="005F16C2"/>
    <w:rsid w:val="005F19EB"/>
    <w:rsid w:val="005F4D94"/>
    <w:rsid w:val="00600FB9"/>
    <w:rsid w:val="006010EA"/>
    <w:rsid w:val="0060258F"/>
    <w:rsid w:val="00605FA4"/>
    <w:rsid w:val="00606E8C"/>
    <w:rsid w:val="006075DD"/>
    <w:rsid w:val="00607FBF"/>
    <w:rsid w:val="006136C6"/>
    <w:rsid w:val="00613730"/>
    <w:rsid w:val="0061531E"/>
    <w:rsid w:val="00617507"/>
    <w:rsid w:val="00617DD0"/>
    <w:rsid w:val="00621959"/>
    <w:rsid w:val="00621AB2"/>
    <w:rsid w:val="00625346"/>
    <w:rsid w:val="0062784C"/>
    <w:rsid w:val="00627AF7"/>
    <w:rsid w:val="006327FC"/>
    <w:rsid w:val="00632FCF"/>
    <w:rsid w:val="006330D0"/>
    <w:rsid w:val="006357D6"/>
    <w:rsid w:val="00637A9E"/>
    <w:rsid w:val="00637FB7"/>
    <w:rsid w:val="00640D27"/>
    <w:rsid w:val="00640D5D"/>
    <w:rsid w:val="00640FF2"/>
    <w:rsid w:val="006428AD"/>
    <w:rsid w:val="00642A3C"/>
    <w:rsid w:val="00643794"/>
    <w:rsid w:val="006441F8"/>
    <w:rsid w:val="00644AB4"/>
    <w:rsid w:val="006467FF"/>
    <w:rsid w:val="00647A6D"/>
    <w:rsid w:val="00650B36"/>
    <w:rsid w:val="00651F1F"/>
    <w:rsid w:val="00652431"/>
    <w:rsid w:val="006544E7"/>
    <w:rsid w:val="00654D39"/>
    <w:rsid w:val="00655E34"/>
    <w:rsid w:val="00656B2A"/>
    <w:rsid w:val="00656BC5"/>
    <w:rsid w:val="00656E25"/>
    <w:rsid w:val="00660D6C"/>
    <w:rsid w:val="0066147E"/>
    <w:rsid w:val="0066188F"/>
    <w:rsid w:val="00661F82"/>
    <w:rsid w:val="0066314C"/>
    <w:rsid w:val="00663F17"/>
    <w:rsid w:val="00663F75"/>
    <w:rsid w:val="00665C7E"/>
    <w:rsid w:val="00665ED9"/>
    <w:rsid w:val="00666936"/>
    <w:rsid w:val="00666F48"/>
    <w:rsid w:val="00667744"/>
    <w:rsid w:val="006710C0"/>
    <w:rsid w:val="00672A84"/>
    <w:rsid w:val="00672EC5"/>
    <w:rsid w:val="00673338"/>
    <w:rsid w:val="00673F88"/>
    <w:rsid w:val="00674395"/>
    <w:rsid w:val="00674DD1"/>
    <w:rsid w:val="00675176"/>
    <w:rsid w:val="006804BF"/>
    <w:rsid w:val="00681DDA"/>
    <w:rsid w:val="006820F1"/>
    <w:rsid w:val="006833F4"/>
    <w:rsid w:val="0068378D"/>
    <w:rsid w:val="006838E5"/>
    <w:rsid w:val="006844C4"/>
    <w:rsid w:val="00684AE5"/>
    <w:rsid w:val="00684FE1"/>
    <w:rsid w:val="0068570F"/>
    <w:rsid w:val="00686350"/>
    <w:rsid w:val="006873B2"/>
    <w:rsid w:val="00690487"/>
    <w:rsid w:val="006911A9"/>
    <w:rsid w:val="00691AAA"/>
    <w:rsid w:val="00692373"/>
    <w:rsid w:val="006927CB"/>
    <w:rsid w:val="00692BC8"/>
    <w:rsid w:val="00693944"/>
    <w:rsid w:val="00693B14"/>
    <w:rsid w:val="00695193"/>
    <w:rsid w:val="006965A4"/>
    <w:rsid w:val="006A2B24"/>
    <w:rsid w:val="006A3180"/>
    <w:rsid w:val="006A34AA"/>
    <w:rsid w:val="006A43DF"/>
    <w:rsid w:val="006A4609"/>
    <w:rsid w:val="006A4A5D"/>
    <w:rsid w:val="006A51F4"/>
    <w:rsid w:val="006A5698"/>
    <w:rsid w:val="006A62D0"/>
    <w:rsid w:val="006A6BE5"/>
    <w:rsid w:val="006A72CC"/>
    <w:rsid w:val="006B0136"/>
    <w:rsid w:val="006B0995"/>
    <w:rsid w:val="006B16BE"/>
    <w:rsid w:val="006B24E5"/>
    <w:rsid w:val="006B35FF"/>
    <w:rsid w:val="006B368E"/>
    <w:rsid w:val="006B3FD1"/>
    <w:rsid w:val="006B458B"/>
    <w:rsid w:val="006B4625"/>
    <w:rsid w:val="006B6D61"/>
    <w:rsid w:val="006C597A"/>
    <w:rsid w:val="006C6502"/>
    <w:rsid w:val="006C7CBC"/>
    <w:rsid w:val="006D0D00"/>
    <w:rsid w:val="006D233D"/>
    <w:rsid w:val="006D5469"/>
    <w:rsid w:val="006D6975"/>
    <w:rsid w:val="006D7866"/>
    <w:rsid w:val="006D7999"/>
    <w:rsid w:val="006E005F"/>
    <w:rsid w:val="006E082F"/>
    <w:rsid w:val="006E113B"/>
    <w:rsid w:val="006E1475"/>
    <w:rsid w:val="006E1B5A"/>
    <w:rsid w:val="006E3277"/>
    <w:rsid w:val="006E366C"/>
    <w:rsid w:val="006E4017"/>
    <w:rsid w:val="006E55D5"/>
    <w:rsid w:val="006E5755"/>
    <w:rsid w:val="006E658E"/>
    <w:rsid w:val="006E747D"/>
    <w:rsid w:val="006E7788"/>
    <w:rsid w:val="006E7EC5"/>
    <w:rsid w:val="006F0BF5"/>
    <w:rsid w:val="006F123E"/>
    <w:rsid w:val="006F2264"/>
    <w:rsid w:val="006F42CB"/>
    <w:rsid w:val="006F4506"/>
    <w:rsid w:val="006F51D6"/>
    <w:rsid w:val="006F5619"/>
    <w:rsid w:val="006F5634"/>
    <w:rsid w:val="006F5C78"/>
    <w:rsid w:val="006F61CC"/>
    <w:rsid w:val="006F70C6"/>
    <w:rsid w:val="006F768F"/>
    <w:rsid w:val="0070218F"/>
    <w:rsid w:val="007021CC"/>
    <w:rsid w:val="0070624A"/>
    <w:rsid w:val="00710D9B"/>
    <w:rsid w:val="00711EC2"/>
    <w:rsid w:val="00713D99"/>
    <w:rsid w:val="00713EAE"/>
    <w:rsid w:val="00714425"/>
    <w:rsid w:val="00714C56"/>
    <w:rsid w:val="007204DA"/>
    <w:rsid w:val="0072245B"/>
    <w:rsid w:val="00722EF3"/>
    <w:rsid w:val="007230F8"/>
    <w:rsid w:val="007237FD"/>
    <w:rsid w:val="00724B75"/>
    <w:rsid w:val="00724E09"/>
    <w:rsid w:val="007251BC"/>
    <w:rsid w:val="00726053"/>
    <w:rsid w:val="00735783"/>
    <w:rsid w:val="007361FB"/>
    <w:rsid w:val="00736D15"/>
    <w:rsid w:val="00736F5A"/>
    <w:rsid w:val="00737661"/>
    <w:rsid w:val="00737F5E"/>
    <w:rsid w:val="00740480"/>
    <w:rsid w:val="00741188"/>
    <w:rsid w:val="00744790"/>
    <w:rsid w:val="007447B6"/>
    <w:rsid w:val="007449F0"/>
    <w:rsid w:val="00744D12"/>
    <w:rsid w:val="00745368"/>
    <w:rsid w:val="00746630"/>
    <w:rsid w:val="007471ED"/>
    <w:rsid w:val="00747D2D"/>
    <w:rsid w:val="00747D74"/>
    <w:rsid w:val="00750661"/>
    <w:rsid w:val="00751197"/>
    <w:rsid w:val="00751B70"/>
    <w:rsid w:val="00754581"/>
    <w:rsid w:val="00754F05"/>
    <w:rsid w:val="007559DE"/>
    <w:rsid w:val="0075781C"/>
    <w:rsid w:val="00760833"/>
    <w:rsid w:val="00760F52"/>
    <w:rsid w:val="007618E2"/>
    <w:rsid w:val="00767385"/>
    <w:rsid w:val="00767E43"/>
    <w:rsid w:val="00770EE5"/>
    <w:rsid w:val="007731C9"/>
    <w:rsid w:val="00773E4A"/>
    <w:rsid w:val="0077592C"/>
    <w:rsid w:val="0077737A"/>
    <w:rsid w:val="00777509"/>
    <w:rsid w:val="007800B1"/>
    <w:rsid w:val="00781744"/>
    <w:rsid w:val="00782AED"/>
    <w:rsid w:val="00783089"/>
    <w:rsid w:val="007836CD"/>
    <w:rsid w:val="007838E2"/>
    <w:rsid w:val="00786B62"/>
    <w:rsid w:val="007871C7"/>
    <w:rsid w:val="0078784C"/>
    <w:rsid w:val="00790E4F"/>
    <w:rsid w:val="007920E8"/>
    <w:rsid w:val="0079420F"/>
    <w:rsid w:val="0079452B"/>
    <w:rsid w:val="007945B4"/>
    <w:rsid w:val="007947B9"/>
    <w:rsid w:val="00794F00"/>
    <w:rsid w:val="00795E05"/>
    <w:rsid w:val="0079646F"/>
    <w:rsid w:val="00796888"/>
    <w:rsid w:val="007976C2"/>
    <w:rsid w:val="00797807"/>
    <w:rsid w:val="007A2232"/>
    <w:rsid w:val="007A2850"/>
    <w:rsid w:val="007A3BC2"/>
    <w:rsid w:val="007A40A4"/>
    <w:rsid w:val="007A59D6"/>
    <w:rsid w:val="007A635A"/>
    <w:rsid w:val="007A75BF"/>
    <w:rsid w:val="007B0CE2"/>
    <w:rsid w:val="007B0D61"/>
    <w:rsid w:val="007B15F4"/>
    <w:rsid w:val="007B52D6"/>
    <w:rsid w:val="007B6190"/>
    <w:rsid w:val="007C02F1"/>
    <w:rsid w:val="007C4882"/>
    <w:rsid w:val="007C50F7"/>
    <w:rsid w:val="007C74AA"/>
    <w:rsid w:val="007D255E"/>
    <w:rsid w:val="007D499B"/>
    <w:rsid w:val="007D5000"/>
    <w:rsid w:val="007D5CFB"/>
    <w:rsid w:val="007D5DF0"/>
    <w:rsid w:val="007E106A"/>
    <w:rsid w:val="007E10E9"/>
    <w:rsid w:val="007E1C9C"/>
    <w:rsid w:val="007E1F50"/>
    <w:rsid w:val="007E2B40"/>
    <w:rsid w:val="007E471D"/>
    <w:rsid w:val="007E6E55"/>
    <w:rsid w:val="007F06F9"/>
    <w:rsid w:val="007F0BB9"/>
    <w:rsid w:val="007F0E7F"/>
    <w:rsid w:val="007F1239"/>
    <w:rsid w:val="007F1C5A"/>
    <w:rsid w:val="007F255D"/>
    <w:rsid w:val="007F40E6"/>
    <w:rsid w:val="007F47BE"/>
    <w:rsid w:val="007F4AD1"/>
    <w:rsid w:val="007F4D73"/>
    <w:rsid w:val="007F54AC"/>
    <w:rsid w:val="00800D57"/>
    <w:rsid w:val="00801A00"/>
    <w:rsid w:val="00802620"/>
    <w:rsid w:val="00802EE4"/>
    <w:rsid w:val="008030A8"/>
    <w:rsid w:val="00805F03"/>
    <w:rsid w:val="00806ADE"/>
    <w:rsid w:val="00810572"/>
    <w:rsid w:val="008114F6"/>
    <w:rsid w:val="00812C5C"/>
    <w:rsid w:val="00813FFA"/>
    <w:rsid w:val="00814824"/>
    <w:rsid w:val="00816699"/>
    <w:rsid w:val="008212E5"/>
    <w:rsid w:val="00821F0C"/>
    <w:rsid w:val="0082294F"/>
    <w:rsid w:val="00822EC7"/>
    <w:rsid w:val="00825019"/>
    <w:rsid w:val="008264B0"/>
    <w:rsid w:val="00826E4D"/>
    <w:rsid w:val="00830303"/>
    <w:rsid w:val="00831B7C"/>
    <w:rsid w:val="00832089"/>
    <w:rsid w:val="00832A9A"/>
    <w:rsid w:val="008336A7"/>
    <w:rsid w:val="00833889"/>
    <w:rsid w:val="00833AD2"/>
    <w:rsid w:val="008348E4"/>
    <w:rsid w:val="00835790"/>
    <w:rsid w:val="00835DCF"/>
    <w:rsid w:val="008369F6"/>
    <w:rsid w:val="00837CF0"/>
    <w:rsid w:val="008400C1"/>
    <w:rsid w:val="00842AFF"/>
    <w:rsid w:val="00842EA9"/>
    <w:rsid w:val="0084324D"/>
    <w:rsid w:val="0084712E"/>
    <w:rsid w:val="0084718E"/>
    <w:rsid w:val="008475EB"/>
    <w:rsid w:val="0085347C"/>
    <w:rsid w:val="00853C0C"/>
    <w:rsid w:val="0085478E"/>
    <w:rsid w:val="0085539A"/>
    <w:rsid w:val="00855DE6"/>
    <w:rsid w:val="00856802"/>
    <w:rsid w:val="008572EA"/>
    <w:rsid w:val="008618FB"/>
    <w:rsid w:val="00862808"/>
    <w:rsid w:val="008647DB"/>
    <w:rsid w:val="00864F8B"/>
    <w:rsid w:val="0086774A"/>
    <w:rsid w:val="00867809"/>
    <w:rsid w:val="0086793E"/>
    <w:rsid w:val="008703D8"/>
    <w:rsid w:val="008716FC"/>
    <w:rsid w:val="00871C00"/>
    <w:rsid w:val="008740FE"/>
    <w:rsid w:val="00875219"/>
    <w:rsid w:val="0087529B"/>
    <w:rsid w:val="008757FE"/>
    <w:rsid w:val="00876810"/>
    <w:rsid w:val="00877AAA"/>
    <w:rsid w:val="00877C8A"/>
    <w:rsid w:val="00880301"/>
    <w:rsid w:val="00881D72"/>
    <w:rsid w:val="00881D97"/>
    <w:rsid w:val="00881DF3"/>
    <w:rsid w:val="00887E61"/>
    <w:rsid w:val="0089031C"/>
    <w:rsid w:val="008909DA"/>
    <w:rsid w:val="00890B55"/>
    <w:rsid w:val="008915CB"/>
    <w:rsid w:val="00893380"/>
    <w:rsid w:val="0089486F"/>
    <w:rsid w:val="00894C80"/>
    <w:rsid w:val="00896BF3"/>
    <w:rsid w:val="00896E24"/>
    <w:rsid w:val="0089728F"/>
    <w:rsid w:val="00897FAF"/>
    <w:rsid w:val="008A0C7E"/>
    <w:rsid w:val="008A1DF8"/>
    <w:rsid w:val="008A218A"/>
    <w:rsid w:val="008A4996"/>
    <w:rsid w:val="008A5016"/>
    <w:rsid w:val="008A575C"/>
    <w:rsid w:val="008A5846"/>
    <w:rsid w:val="008B05BF"/>
    <w:rsid w:val="008B0BF5"/>
    <w:rsid w:val="008B10C2"/>
    <w:rsid w:val="008B325F"/>
    <w:rsid w:val="008B3765"/>
    <w:rsid w:val="008B38EE"/>
    <w:rsid w:val="008B5B31"/>
    <w:rsid w:val="008B6D9C"/>
    <w:rsid w:val="008C125F"/>
    <w:rsid w:val="008C26B6"/>
    <w:rsid w:val="008C3BA5"/>
    <w:rsid w:val="008C4F64"/>
    <w:rsid w:val="008C6156"/>
    <w:rsid w:val="008C6235"/>
    <w:rsid w:val="008C7881"/>
    <w:rsid w:val="008D1962"/>
    <w:rsid w:val="008D277C"/>
    <w:rsid w:val="008D3AFD"/>
    <w:rsid w:val="008D498A"/>
    <w:rsid w:val="008D4C89"/>
    <w:rsid w:val="008D5158"/>
    <w:rsid w:val="008D5194"/>
    <w:rsid w:val="008D618D"/>
    <w:rsid w:val="008D7B96"/>
    <w:rsid w:val="008E09FA"/>
    <w:rsid w:val="008E1055"/>
    <w:rsid w:val="008E144A"/>
    <w:rsid w:val="008E4B12"/>
    <w:rsid w:val="008E4BD9"/>
    <w:rsid w:val="008E6777"/>
    <w:rsid w:val="008E79A9"/>
    <w:rsid w:val="008F0DA0"/>
    <w:rsid w:val="008F0DA1"/>
    <w:rsid w:val="008F13B7"/>
    <w:rsid w:val="008F199E"/>
    <w:rsid w:val="008F1B9B"/>
    <w:rsid w:val="008F5287"/>
    <w:rsid w:val="008F580A"/>
    <w:rsid w:val="008F59BE"/>
    <w:rsid w:val="008F70B0"/>
    <w:rsid w:val="00900E2E"/>
    <w:rsid w:val="0090507A"/>
    <w:rsid w:val="00905A19"/>
    <w:rsid w:val="00905C0F"/>
    <w:rsid w:val="0090649F"/>
    <w:rsid w:val="0090653F"/>
    <w:rsid w:val="00906F84"/>
    <w:rsid w:val="00907D02"/>
    <w:rsid w:val="009102FE"/>
    <w:rsid w:val="00912E41"/>
    <w:rsid w:val="00913738"/>
    <w:rsid w:val="00915E40"/>
    <w:rsid w:val="0092077B"/>
    <w:rsid w:val="00920C22"/>
    <w:rsid w:val="0092265E"/>
    <w:rsid w:val="00922EB4"/>
    <w:rsid w:val="0092334C"/>
    <w:rsid w:val="00925468"/>
    <w:rsid w:val="00925AEF"/>
    <w:rsid w:val="00926FED"/>
    <w:rsid w:val="00927E4D"/>
    <w:rsid w:val="00931EBA"/>
    <w:rsid w:val="009322FA"/>
    <w:rsid w:val="0093523A"/>
    <w:rsid w:val="009359DD"/>
    <w:rsid w:val="009365EE"/>
    <w:rsid w:val="00943831"/>
    <w:rsid w:val="00944F15"/>
    <w:rsid w:val="009459E7"/>
    <w:rsid w:val="00945DC3"/>
    <w:rsid w:val="00946A7E"/>
    <w:rsid w:val="009503D8"/>
    <w:rsid w:val="009508A3"/>
    <w:rsid w:val="0095341C"/>
    <w:rsid w:val="009541B5"/>
    <w:rsid w:val="00955DBF"/>
    <w:rsid w:val="00962974"/>
    <w:rsid w:val="00963BB4"/>
    <w:rsid w:val="00965D7B"/>
    <w:rsid w:val="00970779"/>
    <w:rsid w:val="009721D8"/>
    <w:rsid w:val="009722F6"/>
    <w:rsid w:val="00973513"/>
    <w:rsid w:val="00974011"/>
    <w:rsid w:val="0097445B"/>
    <w:rsid w:val="00974DA8"/>
    <w:rsid w:val="00975ED5"/>
    <w:rsid w:val="0097613D"/>
    <w:rsid w:val="00976631"/>
    <w:rsid w:val="00980238"/>
    <w:rsid w:val="009803C6"/>
    <w:rsid w:val="009812E1"/>
    <w:rsid w:val="00981701"/>
    <w:rsid w:val="00983BED"/>
    <w:rsid w:val="009840C1"/>
    <w:rsid w:val="009849CB"/>
    <w:rsid w:val="00985011"/>
    <w:rsid w:val="0098798C"/>
    <w:rsid w:val="009904CC"/>
    <w:rsid w:val="00990CCD"/>
    <w:rsid w:val="00992D8D"/>
    <w:rsid w:val="009931B9"/>
    <w:rsid w:val="00993E30"/>
    <w:rsid w:val="00994921"/>
    <w:rsid w:val="00994FC7"/>
    <w:rsid w:val="009965FB"/>
    <w:rsid w:val="009A15D3"/>
    <w:rsid w:val="009A2F81"/>
    <w:rsid w:val="009B0A5A"/>
    <w:rsid w:val="009B179E"/>
    <w:rsid w:val="009B44DC"/>
    <w:rsid w:val="009B4F8E"/>
    <w:rsid w:val="009B523A"/>
    <w:rsid w:val="009B56E4"/>
    <w:rsid w:val="009B596C"/>
    <w:rsid w:val="009B6443"/>
    <w:rsid w:val="009B7446"/>
    <w:rsid w:val="009B7A3C"/>
    <w:rsid w:val="009C417C"/>
    <w:rsid w:val="009C4F56"/>
    <w:rsid w:val="009C62A5"/>
    <w:rsid w:val="009C6E81"/>
    <w:rsid w:val="009C70E2"/>
    <w:rsid w:val="009C79C9"/>
    <w:rsid w:val="009D1539"/>
    <w:rsid w:val="009D1C13"/>
    <w:rsid w:val="009D499B"/>
    <w:rsid w:val="009D76FF"/>
    <w:rsid w:val="009D7DCC"/>
    <w:rsid w:val="009E0140"/>
    <w:rsid w:val="009E07BF"/>
    <w:rsid w:val="009E140F"/>
    <w:rsid w:val="009E53F3"/>
    <w:rsid w:val="009E54F4"/>
    <w:rsid w:val="009E5D6E"/>
    <w:rsid w:val="009E7C3E"/>
    <w:rsid w:val="009F0D4F"/>
    <w:rsid w:val="009F3E15"/>
    <w:rsid w:val="009F4C09"/>
    <w:rsid w:val="00A01179"/>
    <w:rsid w:val="00A01525"/>
    <w:rsid w:val="00A01923"/>
    <w:rsid w:val="00A02121"/>
    <w:rsid w:val="00A021FB"/>
    <w:rsid w:val="00A02400"/>
    <w:rsid w:val="00A062DF"/>
    <w:rsid w:val="00A065B8"/>
    <w:rsid w:val="00A06952"/>
    <w:rsid w:val="00A0739B"/>
    <w:rsid w:val="00A07C06"/>
    <w:rsid w:val="00A1015B"/>
    <w:rsid w:val="00A101F5"/>
    <w:rsid w:val="00A10F4D"/>
    <w:rsid w:val="00A11E53"/>
    <w:rsid w:val="00A124B5"/>
    <w:rsid w:val="00A1281A"/>
    <w:rsid w:val="00A12973"/>
    <w:rsid w:val="00A12B90"/>
    <w:rsid w:val="00A12E71"/>
    <w:rsid w:val="00A12FE2"/>
    <w:rsid w:val="00A135CE"/>
    <w:rsid w:val="00A15389"/>
    <w:rsid w:val="00A1545C"/>
    <w:rsid w:val="00A155EE"/>
    <w:rsid w:val="00A1569F"/>
    <w:rsid w:val="00A176C1"/>
    <w:rsid w:val="00A22A56"/>
    <w:rsid w:val="00A22D3E"/>
    <w:rsid w:val="00A24233"/>
    <w:rsid w:val="00A25D82"/>
    <w:rsid w:val="00A2608E"/>
    <w:rsid w:val="00A26C8D"/>
    <w:rsid w:val="00A26E6B"/>
    <w:rsid w:val="00A27EAE"/>
    <w:rsid w:val="00A32401"/>
    <w:rsid w:val="00A34FD4"/>
    <w:rsid w:val="00A35334"/>
    <w:rsid w:val="00A35A44"/>
    <w:rsid w:val="00A37266"/>
    <w:rsid w:val="00A4077D"/>
    <w:rsid w:val="00A40B36"/>
    <w:rsid w:val="00A40F59"/>
    <w:rsid w:val="00A413C5"/>
    <w:rsid w:val="00A435B3"/>
    <w:rsid w:val="00A43C6C"/>
    <w:rsid w:val="00A43CF3"/>
    <w:rsid w:val="00A44831"/>
    <w:rsid w:val="00A4665F"/>
    <w:rsid w:val="00A47CE8"/>
    <w:rsid w:val="00A509B2"/>
    <w:rsid w:val="00A50D6C"/>
    <w:rsid w:val="00A52449"/>
    <w:rsid w:val="00A528AA"/>
    <w:rsid w:val="00A5455A"/>
    <w:rsid w:val="00A54BC2"/>
    <w:rsid w:val="00A5634E"/>
    <w:rsid w:val="00A618E2"/>
    <w:rsid w:val="00A61A01"/>
    <w:rsid w:val="00A61DF3"/>
    <w:rsid w:val="00A63116"/>
    <w:rsid w:val="00A6363C"/>
    <w:rsid w:val="00A64388"/>
    <w:rsid w:val="00A647EF"/>
    <w:rsid w:val="00A675BC"/>
    <w:rsid w:val="00A704DD"/>
    <w:rsid w:val="00A70707"/>
    <w:rsid w:val="00A71085"/>
    <w:rsid w:val="00A73090"/>
    <w:rsid w:val="00A75AC7"/>
    <w:rsid w:val="00A75BC2"/>
    <w:rsid w:val="00A77C0B"/>
    <w:rsid w:val="00A805F1"/>
    <w:rsid w:val="00A80C4C"/>
    <w:rsid w:val="00A81279"/>
    <w:rsid w:val="00A82976"/>
    <w:rsid w:val="00A830B3"/>
    <w:rsid w:val="00A83486"/>
    <w:rsid w:val="00A8609E"/>
    <w:rsid w:val="00A86252"/>
    <w:rsid w:val="00A87E6B"/>
    <w:rsid w:val="00A91200"/>
    <w:rsid w:val="00A91653"/>
    <w:rsid w:val="00A92592"/>
    <w:rsid w:val="00A92E8F"/>
    <w:rsid w:val="00A930D6"/>
    <w:rsid w:val="00A94013"/>
    <w:rsid w:val="00A94D49"/>
    <w:rsid w:val="00A95EA8"/>
    <w:rsid w:val="00A96FCB"/>
    <w:rsid w:val="00AA032B"/>
    <w:rsid w:val="00AA03E4"/>
    <w:rsid w:val="00AA1E85"/>
    <w:rsid w:val="00AA47BA"/>
    <w:rsid w:val="00AA5D7D"/>
    <w:rsid w:val="00AA683E"/>
    <w:rsid w:val="00AA6AB0"/>
    <w:rsid w:val="00AA6DDE"/>
    <w:rsid w:val="00AA7B86"/>
    <w:rsid w:val="00AA7CD1"/>
    <w:rsid w:val="00AA7FBE"/>
    <w:rsid w:val="00AA7FD0"/>
    <w:rsid w:val="00AB0181"/>
    <w:rsid w:val="00AB0200"/>
    <w:rsid w:val="00AB03CE"/>
    <w:rsid w:val="00AB0CF8"/>
    <w:rsid w:val="00AB1091"/>
    <w:rsid w:val="00AB13A9"/>
    <w:rsid w:val="00AB1DF2"/>
    <w:rsid w:val="00AB21B9"/>
    <w:rsid w:val="00AB2690"/>
    <w:rsid w:val="00AB3555"/>
    <w:rsid w:val="00AB3A38"/>
    <w:rsid w:val="00AB4038"/>
    <w:rsid w:val="00AB48CC"/>
    <w:rsid w:val="00AB73E9"/>
    <w:rsid w:val="00AB7D3B"/>
    <w:rsid w:val="00AC05D1"/>
    <w:rsid w:val="00AC0DA9"/>
    <w:rsid w:val="00AC1425"/>
    <w:rsid w:val="00AC1640"/>
    <w:rsid w:val="00AC1CC0"/>
    <w:rsid w:val="00AC22FE"/>
    <w:rsid w:val="00AC31C9"/>
    <w:rsid w:val="00AC43F6"/>
    <w:rsid w:val="00AC4DBA"/>
    <w:rsid w:val="00AC578D"/>
    <w:rsid w:val="00AC69C1"/>
    <w:rsid w:val="00AD01AB"/>
    <w:rsid w:val="00AD04CB"/>
    <w:rsid w:val="00AD2A69"/>
    <w:rsid w:val="00AD300D"/>
    <w:rsid w:val="00AD5529"/>
    <w:rsid w:val="00AD5C38"/>
    <w:rsid w:val="00AD5D4D"/>
    <w:rsid w:val="00AD6AE7"/>
    <w:rsid w:val="00AE09C2"/>
    <w:rsid w:val="00AE0C81"/>
    <w:rsid w:val="00AE243E"/>
    <w:rsid w:val="00AE2845"/>
    <w:rsid w:val="00AE4B91"/>
    <w:rsid w:val="00AE69A4"/>
    <w:rsid w:val="00AE6DCC"/>
    <w:rsid w:val="00AE73E7"/>
    <w:rsid w:val="00AE7543"/>
    <w:rsid w:val="00AF0B64"/>
    <w:rsid w:val="00AF5D62"/>
    <w:rsid w:val="00B0098C"/>
    <w:rsid w:val="00B012C8"/>
    <w:rsid w:val="00B031F1"/>
    <w:rsid w:val="00B037CA"/>
    <w:rsid w:val="00B042FF"/>
    <w:rsid w:val="00B05192"/>
    <w:rsid w:val="00B06E2E"/>
    <w:rsid w:val="00B1100D"/>
    <w:rsid w:val="00B11471"/>
    <w:rsid w:val="00B12145"/>
    <w:rsid w:val="00B131D1"/>
    <w:rsid w:val="00B13F7E"/>
    <w:rsid w:val="00B1544B"/>
    <w:rsid w:val="00B172A7"/>
    <w:rsid w:val="00B1799B"/>
    <w:rsid w:val="00B17AB0"/>
    <w:rsid w:val="00B17AC8"/>
    <w:rsid w:val="00B24BF0"/>
    <w:rsid w:val="00B25651"/>
    <w:rsid w:val="00B25C64"/>
    <w:rsid w:val="00B25D4A"/>
    <w:rsid w:val="00B26506"/>
    <w:rsid w:val="00B266F7"/>
    <w:rsid w:val="00B274E7"/>
    <w:rsid w:val="00B30E2C"/>
    <w:rsid w:val="00B313DA"/>
    <w:rsid w:val="00B31A53"/>
    <w:rsid w:val="00B32DB4"/>
    <w:rsid w:val="00B342CF"/>
    <w:rsid w:val="00B370E0"/>
    <w:rsid w:val="00B37E94"/>
    <w:rsid w:val="00B40E5A"/>
    <w:rsid w:val="00B429EF"/>
    <w:rsid w:val="00B44A0D"/>
    <w:rsid w:val="00B45C46"/>
    <w:rsid w:val="00B46FF8"/>
    <w:rsid w:val="00B47A0E"/>
    <w:rsid w:val="00B513F2"/>
    <w:rsid w:val="00B52A87"/>
    <w:rsid w:val="00B52C32"/>
    <w:rsid w:val="00B5429E"/>
    <w:rsid w:val="00B56DD6"/>
    <w:rsid w:val="00B56F0E"/>
    <w:rsid w:val="00B60D02"/>
    <w:rsid w:val="00B62684"/>
    <w:rsid w:val="00B62A46"/>
    <w:rsid w:val="00B6366A"/>
    <w:rsid w:val="00B637F6"/>
    <w:rsid w:val="00B64A52"/>
    <w:rsid w:val="00B6643D"/>
    <w:rsid w:val="00B67A2D"/>
    <w:rsid w:val="00B7060C"/>
    <w:rsid w:val="00B715BD"/>
    <w:rsid w:val="00B721C0"/>
    <w:rsid w:val="00B735FC"/>
    <w:rsid w:val="00B73948"/>
    <w:rsid w:val="00B7533D"/>
    <w:rsid w:val="00B76C6B"/>
    <w:rsid w:val="00B76D64"/>
    <w:rsid w:val="00B77F97"/>
    <w:rsid w:val="00B807C0"/>
    <w:rsid w:val="00B81C29"/>
    <w:rsid w:val="00B81EA7"/>
    <w:rsid w:val="00B831C3"/>
    <w:rsid w:val="00B83AD5"/>
    <w:rsid w:val="00B84E7F"/>
    <w:rsid w:val="00B84FD9"/>
    <w:rsid w:val="00B8589B"/>
    <w:rsid w:val="00B86A6B"/>
    <w:rsid w:val="00B86ED7"/>
    <w:rsid w:val="00B86FE5"/>
    <w:rsid w:val="00B90A0F"/>
    <w:rsid w:val="00B90CA9"/>
    <w:rsid w:val="00B91EB1"/>
    <w:rsid w:val="00B941D3"/>
    <w:rsid w:val="00B94262"/>
    <w:rsid w:val="00B94783"/>
    <w:rsid w:val="00B95D05"/>
    <w:rsid w:val="00B979D2"/>
    <w:rsid w:val="00BA0EDA"/>
    <w:rsid w:val="00BA17BC"/>
    <w:rsid w:val="00BA1F1F"/>
    <w:rsid w:val="00BA2C2A"/>
    <w:rsid w:val="00BA4C02"/>
    <w:rsid w:val="00BA5C15"/>
    <w:rsid w:val="00BA690D"/>
    <w:rsid w:val="00BA779C"/>
    <w:rsid w:val="00BB13E9"/>
    <w:rsid w:val="00BB1464"/>
    <w:rsid w:val="00BB2CAF"/>
    <w:rsid w:val="00BB2DE6"/>
    <w:rsid w:val="00BB37A3"/>
    <w:rsid w:val="00BB42C2"/>
    <w:rsid w:val="00BB6145"/>
    <w:rsid w:val="00BB6DFE"/>
    <w:rsid w:val="00BB77A6"/>
    <w:rsid w:val="00BC0079"/>
    <w:rsid w:val="00BC0E65"/>
    <w:rsid w:val="00BC1988"/>
    <w:rsid w:val="00BC24E2"/>
    <w:rsid w:val="00BC2D5F"/>
    <w:rsid w:val="00BC4401"/>
    <w:rsid w:val="00BC4799"/>
    <w:rsid w:val="00BC4B97"/>
    <w:rsid w:val="00BC6228"/>
    <w:rsid w:val="00BC7A4B"/>
    <w:rsid w:val="00BC7ABA"/>
    <w:rsid w:val="00BD0734"/>
    <w:rsid w:val="00BD0807"/>
    <w:rsid w:val="00BD100D"/>
    <w:rsid w:val="00BD3062"/>
    <w:rsid w:val="00BD5181"/>
    <w:rsid w:val="00BD5333"/>
    <w:rsid w:val="00BD5830"/>
    <w:rsid w:val="00BD6B64"/>
    <w:rsid w:val="00BD6DC7"/>
    <w:rsid w:val="00BE0AD0"/>
    <w:rsid w:val="00BE1446"/>
    <w:rsid w:val="00BE26DB"/>
    <w:rsid w:val="00BE3C30"/>
    <w:rsid w:val="00BE4509"/>
    <w:rsid w:val="00BE5D17"/>
    <w:rsid w:val="00BE71D4"/>
    <w:rsid w:val="00BF056B"/>
    <w:rsid w:val="00BF132B"/>
    <w:rsid w:val="00BF2648"/>
    <w:rsid w:val="00BF5081"/>
    <w:rsid w:val="00BF734A"/>
    <w:rsid w:val="00C00F7D"/>
    <w:rsid w:val="00C01379"/>
    <w:rsid w:val="00C01D99"/>
    <w:rsid w:val="00C07A7C"/>
    <w:rsid w:val="00C07B17"/>
    <w:rsid w:val="00C117BD"/>
    <w:rsid w:val="00C12B00"/>
    <w:rsid w:val="00C12BD4"/>
    <w:rsid w:val="00C1312E"/>
    <w:rsid w:val="00C14407"/>
    <w:rsid w:val="00C14806"/>
    <w:rsid w:val="00C1679C"/>
    <w:rsid w:val="00C171E0"/>
    <w:rsid w:val="00C17DCE"/>
    <w:rsid w:val="00C20224"/>
    <w:rsid w:val="00C2159E"/>
    <w:rsid w:val="00C2182A"/>
    <w:rsid w:val="00C2572E"/>
    <w:rsid w:val="00C27FDE"/>
    <w:rsid w:val="00C30982"/>
    <w:rsid w:val="00C316CF"/>
    <w:rsid w:val="00C330DF"/>
    <w:rsid w:val="00C35135"/>
    <w:rsid w:val="00C37956"/>
    <w:rsid w:val="00C402AF"/>
    <w:rsid w:val="00C40E54"/>
    <w:rsid w:val="00C41182"/>
    <w:rsid w:val="00C4190F"/>
    <w:rsid w:val="00C46EA5"/>
    <w:rsid w:val="00C477AB"/>
    <w:rsid w:val="00C50701"/>
    <w:rsid w:val="00C52025"/>
    <w:rsid w:val="00C52860"/>
    <w:rsid w:val="00C54677"/>
    <w:rsid w:val="00C5589D"/>
    <w:rsid w:val="00C60066"/>
    <w:rsid w:val="00C619A7"/>
    <w:rsid w:val="00C636B1"/>
    <w:rsid w:val="00C70959"/>
    <w:rsid w:val="00C712D6"/>
    <w:rsid w:val="00C72D64"/>
    <w:rsid w:val="00C7346A"/>
    <w:rsid w:val="00C736CA"/>
    <w:rsid w:val="00C74382"/>
    <w:rsid w:val="00C74525"/>
    <w:rsid w:val="00C747FA"/>
    <w:rsid w:val="00C7482D"/>
    <w:rsid w:val="00C75737"/>
    <w:rsid w:val="00C75FEB"/>
    <w:rsid w:val="00C76A3A"/>
    <w:rsid w:val="00C76BB5"/>
    <w:rsid w:val="00C76D18"/>
    <w:rsid w:val="00C80E71"/>
    <w:rsid w:val="00C82620"/>
    <w:rsid w:val="00C8275D"/>
    <w:rsid w:val="00C83FFE"/>
    <w:rsid w:val="00C84023"/>
    <w:rsid w:val="00C86250"/>
    <w:rsid w:val="00C91C73"/>
    <w:rsid w:val="00C951F3"/>
    <w:rsid w:val="00C967B4"/>
    <w:rsid w:val="00C96BFA"/>
    <w:rsid w:val="00C97519"/>
    <w:rsid w:val="00CA111D"/>
    <w:rsid w:val="00CA12FB"/>
    <w:rsid w:val="00CA38CE"/>
    <w:rsid w:val="00CA44EE"/>
    <w:rsid w:val="00CA5386"/>
    <w:rsid w:val="00CA6308"/>
    <w:rsid w:val="00CA6B1A"/>
    <w:rsid w:val="00CA6B42"/>
    <w:rsid w:val="00CA7F4B"/>
    <w:rsid w:val="00CB12D4"/>
    <w:rsid w:val="00CB30B0"/>
    <w:rsid w:val="00CB585A"/>
    <w:rsid w:val="00CB5A20"/>
    <w:rsid w:val="00CB6DC1"/>
    <w:rsid w:val="00CB7F07"/>
    <w:rsid w:val="00CC108A"/>
    <w:rsid w:val="00CC179E"/>
    <w:rsid w:val="00CC26B2"/>
    <w:rsid w:val="00CC2814"/>
    <w:rsid w:val="00CC2D5B"/>
    <w:rsid w:val="00CC3602"/>
    <w:rsid w:val="00CC6252"/>
    <w:rsid w:val="00CC6787"/>
    <w:rsid w:val="00CD0E96"/>
    <w:rsid w:val="00CD32D9"/>
    <w:rsid w:val="00CD379D"/>
    <w:rsid w:val="00CD4ADF"/>
    <w:rsid w:val="00CD4B74"/>
    <w:rsid w:val="00CD5143"/>
    <w:rsid w:val="00CD6B68"/>
    <w:rsid w:val="00CD6D31"/>
    <w:rsid w:val="00CD6E08"/>
    <w:rsid w:val="00CD78D6"/>
    <w:rsid w:val="00CD7F5C"/>
    <w:rsid w:val="00CE07E2"/>
    <w:rsid w:val="00CE1D19"/>
    <w:rsid w:val="00CE4818"/>
    <w:rsid w:val="00CE4EE2"/>
    <w:rsid w:val="00CE50C2"/>
    <w:rsid w:val="00CE59C2"/>
    <w:rsid w:val="00CE6C4F"/>
    <w:rsid w:val="00CE75E2"/>
    <w:rsid w:val="00CF01E3"/>
    <w:rsid w:val="00CF18EA"/>
    <w:rsid w:val="00CF1DD7"/>
    <w:rsid w:val="00CF2103"/>
    <w:rsid w:val="00CF291B"/>
    <w:rsid w:val="00CF3059"/>
    <w:rsid w:val="00CF314A"/>
    <w:rsid w:val="00CF420E"/>
    <w:rsid w:val="00CF5A1F"/>
    <w:rsid w:val="00CF5DDF"/>
    <w:rsid w:val="00CF6EB6"/>
    <w:rsid w:val="00CF72F4"/>
    <w:rsid w:val="00CF76C2"/>
    <w:rsid w:val="00CF783E"/>
    <w:rsid w:val="00CF786F"/>
    <w:rsid w:val="00D00586"/>
    <w:rsid w:val="00D01EDF"/>
    <w:rsid w:val="00D0276C"/>
    <w:rsid w:val="00D02A1D"/>
    <w:rsid w:val="00D02FB9"/>
    <w:rsid w:val="00D03D18"/>
    <w:rsid w:val="00D04422"/>
    <w:rsid w:val="00D06EBD"/>
    <w:rsid w:val="00D105DB"/>
    <w:rsid w:val="00D1213B"/>
    <w:rsid w:val="00D1389D"/>
    <w:rsid w:val="00D140DC"/>
    <w:rsid w:val="00D25299"/>
    <w:rsid w:val="00D25F14"/>
    <w:rsid w:val="00D30203"/>
    <w:rsid w:val="00D3032C"/>
    <w:rsid w:val="00D314D4"/>
    <w:rsid w:val="00D31C26"/>
    <w:rsid w:val="00D32052"/>
    <w:rsid w:val="00D32E24"/>
    <w:rsid w:val="00D334A9"/>
    <w:rsid w:val="00D33FE1"/>
    <w:rsid w:val="00D362CB"/>
    <w:rsid w:val="00D368A8"/>
    <w:rsid w:val="00D3709A"/>
    <w:rsid w:val="00D37A86"/>
    <w:rsid w:val="00D37E87"/>
    <w:rsid w:val="00D40BAD"/>
    <w:rsid w:val="00D427D0"/>
    <w:rsid w:val="00D4292E"/>
    <w:rsid w:val="00D42DF7"/>
    <w:rsid w:val="00D43416"/>
    <w:rsid w:val="00D43897"/>
    <w:rsid w:val="00D45442"/>
    <w:rsid w:val="00D46056"/>
    <w:rsid w:val="00D47ACF"/>
    <w:rsid w:val="00D5059D"/>
    <w:rsid w:val="00D51F89"/>
    <w:rsid w:val="00D5211C"/>
    <w:rsid w:val="00D53B26"/>
    <w:rsid w:val="00D5496B"/>
    <w:rsid w:val="00D561E2"/>
    <w:rsid w:val="00D56235"/>
    <w:rsid w:val="00D5672C"/>
    <w:rsid w:val="00D570C5"/>
    <w:rsid w:val="00D60721"/>
    <w:rsid w:val="00D6116E"/>
    <w:rsid w:val="00D61351"/>
    <w:rsid w:val="00D61BBB"/>
    <w:rsid w:val="00D63939"/>
    <w:rsid w:val="00D640B1"/>
    <w:rsid w:val="00D6497E"/>
    <w:rsid w:val="00D6507F"/>
    <w:rsid w:val="00D650DF"/>
    <w:rsid w:val="00D660F7"/>
    <w:rsid w:val="00D66950"/>
    <w:rsid w:val="00D66AE5"/>
    <w:rsid w:val="00D66D7A"/>
    <w:rsid w:val="00D67578"/>
    <w:rsid w:val="00D722C7"/>
    <w:rsid w:val="00D72ECC"/>
    <w:rsid w:val="00D734A6"/>
    <w:rsid w:val="00D755B4"/>
    <w:rsid w:val="00D77997"/>
    <w:rsid w:val="00D8001E"/>
    <w:rsid w:val="00D800B9"/>
    <w:rsid w:val="00D805B4"/>
    <w:rsid w:val="00D808F2"/>
    <w:rsid w:val="00D81335"/>
    <w:rsid w:val="00D81B9E"/>
    <w:rsid w:val="00D826CC"/>
    <w:rsid w:val="00D842FE"/>
    <w:rsid w:val="00D84EED"/>
    <w:rsid w:val="00D86BFA"/>
    <w:rsid w:val="00D875B3"/>
    <w:rsid w:val="00D876AA"/>
    <w:rsid w:val="00D9047B"/>
    <w:rsid w:val="00D911EE"/>
    <w:rsid w:val="00D9124D"/>
    <w:rsid w:val="00D921BF"/>
    <w:rsid w:val="00D9284D"/>
    <w:rsid w:val="00D92F00"/>
    <w:rsid w:val="00D9561E"/>
    <w:rsid w:val="00D95C5C"/>
    <w:rsid w:val="00DA014C"/>
    <w:rsid w:val="00DA120B"/>
    <w:rsid w:val="00DA1A29"/>
    <w:rsid w:val="00DA1E34"/>
    <w:rsid w:val="00DA2514"/>
    <w:rsid w:val="00DA35A4"/>
    <w:rsid w:val="00DA5D72"/>
    <w:rsid w:val="00DA6384"/>
    <w:rsid w:val="00DA6DEF"/>
    <w:rsid w:val="00DA7BB1"/>
    <w:rsid w:val="00DA7BFE"/>
    <w:rsid w:val="00DB2052"/>
    <w:rsid w:val="00DB29D2"/>
    <w:rsid w:val="00DB2DAD"/>
    <w:rsid w:val="00DB347E"/>
    <w:rsid w:val="00DB3B1B"/>
    <w:rsid w:val="00DB502C"/>
    <w:rsid w:val="00DB65B1"/>
    <w:rsid w:val="00DC1724"/>
    <w:rsid w:val="00DC4546"/>
    <w:rsid w:val="00DC5906"/>
    <w:rsid w:val="00DC5C4C"/>
    <w:rsid w:val="00DC6BE4"/>
    <w:rsid w:val="00DC6C11"/>
    <w:rsid w:val="00DC7566"/>
    <w:rsid w:val="00DC78AE"/>
    <w:rsid w:val="00DD1EED"/>
    <w:rsid w:val="00DD2185"/>
    <w:rsid w:val="00DD2AE6"/>
    <w:rsid w:val="00DD4827"/>
    <w:rsid w:val="00DD4982"/>
    <w:rsid w:val="00DD6202"/>
    <w:rsid w:val="00DD7661"/>
    <w:rsid w:val="00DE0BAF"/>
    <w:rsid w:val="00DE1823"/>
    <w:rsid w:val="00DE3C65"/>
    <w:rsid w:val="00DE50E6"/>
    <w:rsid w:val="00DE5DAE"/>
    <w:rsid w:val="00DE6EEC"/>
    <w:rsid w:val="00DE74DC"/>
    <w:rsid w:val="00DE769A"/>
    <w:rsid w:val="00DF07D3"/>
    <w:rsid w:val="00DF2974"/>
    <w:rsid w:val="00DF3E02"/>
    <w:rsid w:val="00E0096F"/>
    <w:rsid w:val="00E00BC4"/>
    <w:rsid w:val="00E028B5"/>
    <w:rsid w:val="00E032E0"/>
    <w:rsid w:val="00E04C71"/>
    <w:rsid w:val="00E051EC"/>
    <w:rsid w:val="00E0541B"/>
    <w:rsid w:val="00E066A8"/>
    <w:rsid w:val="00E06E0A"/>
    <w:rsid w:val="00E074BC"/>
    <w:rsid w:val="00E0767E"/>
    <w:rsid w:val="00E119B3"/>
    <w:rsid w:val="00E1330F"/>
    <w:rsid w:val="00E135C2"/>
    <w:rsid w:val="00E15B02"/>
    <w:rsid w:val="00E16784"/>
    <w:rsid w:val="00E1728F"/>
    <w:rsid w:val="00E21E49"/>
    <w:rsid w:val="00E22FCC"/>
    <w:rsid w:val="00E234F8"/>
    <w:rsid w:val="00E23BC0"/>
    <w:rsid w:val="00E23D76"/>
    <w:rsid w:val="00E24E8F"/>
    <w:rsid w:val="00E250A8"/>
    <w:rsid w:val="00E300E9"/>
    <w:rsid w:val="00E30B27"/>
    <w:rsid w:val="00E313C4"/>
    <w:rsid w:val="00E32423"/>
    <w:rsid w:val="00E331FC"/>
    <w:rsid w:val="00E40D05"/>
    <w:rsid w:val="00E41904"/>
    <w:rsid w:val="00E42D5C"/>
    <w:rsid w:val="00E45747"/>
    <w:rsid w:val="00E45E55"/>
    <w:rsid w:val="00E45ED0"/>
    <w:rsid w:val="00E47140"/>
    <w:rsid w:val="00E478C7"/>
    <w:rsid w:val="00E47CB1"/>
    <w:rsid w:val="00E50B55"/>
    <w:rsid w:val="00E5227C"/>
    <w:rsid w:val="00E53B29"/>
    <w:rsid w:val="00E53C84"/>
    <w:rsid w:val="00E53DB8"/>
    <w:rsid w:val="00E55442"/>
    <w:rsid w:val="00E5605A"/>
    <w:rsid w:val="00E5643A"/>
    <w:rsid w:val="00E60340"/>
    <w:rsid w:val="00E608F6"/>
    <w:rsid w:val="00E61424"/>
    <w:rsid w:val="00E61A35"/>
    <w:rsid w:val="00E6210A"/>
    <w:rsid w:val="00E62491"/>
    <w:rsid w:val="00E62997"/>
    <w:rsid w:val="00E62B7A"/>
    <w:rsid w:val="00E62FB9"/>
    <w:rsid w:val="00E63FD6"/>
    <w:rsid w:val="00E652D5"/>
    <w:rsid w:val="00E6555F"/>
    <w:rsid w:val="00E669DC"/>
    <w:rsid w:val="00E72E84"/>
    <w:rsid w:val="00E741C7"/>
    <w:rsid w:val="00E74BAB"/>
    <w:rsid w:val="00E76C5F"/>
    <w:rsid w:val="00E80469"/>
    <w:rsid w:val="00E81832"/>
    <w:rsid w:val="00E834EC"/>
    <w:rsid w:val="00E852C7"/>
    <w:rsid w:val="00E85929"/>
    <w:rsid w:val="00E86997"/>
    <w:rsid w:val="00E8711A"/>
    <w:rsid w:val="00E873FB"/>
    <w:rsid w:val="00E9337F"/>
    <w:rsid w:val="00E941A2"/>
    <w:rsid w:val="00E94EE9"/>
    <w:rsid w:val="00E953CF"/>
    <w:rsid w:val="00E95844"/>
    <w:rsid w:val="00E95B5F"/>
    <w:rsid w:val="00E96419"/>
    <w:rsid w:val="00E9653B"/>
    <w:rsid w:val="00E96C21"/>
    <w:rsid w:val="00E97292"/>
    <w:rsid w:val="00EA05FA"/>
    <w:rsid w:val="00EA1847"/>
    <w:rsid w:val="00EA1DFC"/>
    <w:rsid w:val="00EA23FF"/>
    <w:rsid w:val="00EA2415"/>
    <w:rsid w:val="00EA38FF"/>
    <w:rsid w:val="00EA3CF8"/>
    <w:rsid w:val="00EA5942"/>
    <w:rsid w:val="00EA7E7B"/>
    <w:rsid w:val="00EB0EA9"/>
    <w:rsid w:val="00EB0FEB"/>
    <w:rsid w:val="00EB112A"/>
    <w:rsid w:val="00EB1744"/>
    <w:rsid w:val="00EB1C2F"/>
    <w:rsid w:val="00EB2465"/>
    <w:rsid w:val="00EB36BA"/>
    <w:rsid w:val="00EB5EDC"/>
    <w:rsid w:val="00EB6004"/>
    <w:rsid w:val="00EB7392"/>
    <w:rsid w:val="00EB7DA5"/>
    <w:rsid w:val="00EB7DB1"/>
    <w:rsid w:val="00EC23CC"/>
    <w:rsid w:val="00EC26C3"/>
    <w:rsid w:val="00EC3276"/>
    <w:rsid w:val="00EC4D08"/>
    <w:rsid w:val="00EC5634"/>
    <w:rsid w:val="00EC5D9E"/>
    <w:rsid w:val="00EC60FA"/>
    <w:rsid w:val="00EC7137"/>
    <w:rsid w:val="00ED0567"/>
    <w:rsid w:val="00ED1048"/>
    <w:rsid w:val="00ED16D1"/>
    <w:rsid w:val="00ED36A0"/>
    <w:rsid w:val="00ED4471"/>
    <w:rsid w:val="00ED4D2C"/>
    <w:rsid w:val="00ED5945"/>
    <w:rsid w:val="00ED6461"/>
    <w:rsid w:val="00ED7D8C"/>
    <w:rsid w:val="00EE1114"/>
    <w:rsid w:val="00EE2D33"/>
    <w:rsid w:val="00EE384C"/>
    <w:rsid w:val="00EE3B7E"/>
    <w:rsid w:val="00EE4AD8"/>
    <w:rsid w:val="00EE5FA8"/>
    <w:rsid w:val="00EE6802"/>
    <w:rsid w:val="00EE691B"/>
    <w:rsid w:val="00EE7311"/>
    <w:rsid w:val="00EE79BE"/>
    <w:rsid w:val="00EE7CDE"/>
    <w:rsid w:val="00EF2F6F"/>
    <w:rsid w:val="00EF3424"/>
    <w:rsid w:val="00EF359F"/>
    <w:rsid w:val="00F04BB6"/>
    <w:rsid w:val="00F05878"/>
    <w:rsid w:val="00F06C0D"/>
    <w:rsid w:val="00F07361"/>
    <w:rsid w:val="00F12BA2"/>
    <w:rsid w:val="00F1345C"/>
    <w:rsid w:val="00F1360F"/>
    <w:rsid w:val="00F1478A"/>
    <w:rsid w:val="00F15A50"/>
    <w:rsid w:val="00F16320"/>
    <w:rsid w:val="00F16407"/>
    <w:rsid w:val="00F21CEB"/>
    <w:rsid w:val="00F231D1"/>
    <w:rsid w:val="00F25CFF"/>
    <w:rsid w:val="00F2680B"/>
    <w:rsid w:val="00F31C3C"/>
    <w:rsid w:val="00F31EC7"/>
    <w:rsid w:val="00F334DB"/>
    <w:rsid w:val="00F36650"/>
    <w:rsid w:val="00F405DD"/>
    <w:rsid w:val="00F41CF0"/>
    <w:rsid w:val="00F42580"/>
    <w:rsid w:val="00F42764"/>
    <w:rsid w:val="00F42E42"/>
    <w:rsid w:val="00F43D09"/>
    <w:rsid w:val="00F44B69"/>
    <w:rsid w:val="00F45416"/>
    <w:rsid w:val="00F45DFE"/>
    <w:rsid w:val="00F5055D"/>
    <w:rsid w:val="00F50D0B"/>
    <w:rsid w:val="00F531C1"/>
    <w:rsid w:val="00F53694"/>
    <w:rsid w:val="00F54AB7"/>
    <w:rsid w:val="00F54BAC"/>
    <w:rsid w:val="00F54C86"/>
    <w:rsid w:val="00F565E7"/>
    <w:rsid w:val="00F56739"/>
    <w:rsid w:val="00F56EBC"/>
    <w:rsid w:val="00F573A4"/>
    <w:rsid w:val="00F57F2F"/>
    <w:rsid w:val="00F603BA"/>
    <w:rsid w:val="00F61978"/>
    <w:rsid w:val="00F61EFE"/>
    <w:rsid w:val="00F623DF"/>
    <w:rsid w:val="00F63BEE"/>
    <w:rsid w:val="00F7083C"/>
    <w:rsid w:val="00F70BE8"/>
    <w:rsid w:val="00F70DAB"/>
    <w:rsid w:val="00F722E0"/>
    <w:rsid w:val="00F74337"/>
    <w:rsid w:val="00F74ED3"/>
    <w:rsid w:val="00F750CB"/>
    <w:rsid w:val="00F75164"/>
    <w:rsid w:val="00F76C33"/>
    <w:rsid w:val="00F772B0"/>
    <w:rsid w:val="00F804AA"/>
    <w:rsid w:val="00F80791"/>
    <w:rsid w:val="00F81409"/>
    <w:rsid w:val="00F82BAC"/>
    <w:rsid w:val="00F8371D"/>
    <w:rsid w:val="00F844BF"/>
    <w:rsid w:val="00F868DB"/>
    <w:rsid w:val="00F87F3F"/>
    <w:rsid w:val="00F91015"/>
    <w:rsid w:val="00F93633"/>
    <w:rsid w:val="00F94789"/>
    <w:rsid w:val="00F949D7"/>
    <w:rsid w:val="00F96FD0"/>
    <w:rsid w:val="00F97FF8"/>
    <w:rsid w:val="00FA01F5"/>
    <w:rsid w:val="00FA0DCC"/>
    <w:rsid w:val="00FA29E3"/>
    <w:rsid w:val="00FA78FC"/>
    <w:rsid w:val="00FB12E3"/>
    <w:rsid w:val="00FB33EE"/>
    <w:rsid w:val="00FB4DED"/>
    <w:rsid w:val="00FB64B4"/>
    <w:rsid w:val="00FB678F"/>
    <w:rsid w:val="00FB7125"/>
    <w:rsid w:val="00FB73D7"/>
    <w:rsid w:val="00FC15AF"/>
    <w:rsid w:val="00FC1FAB"/>
    <w:rsid w:val="00FC31FC"/>
    <w:rsid w:val="00FC3C74"/>
    <w:rsid w:val="00FC50EC"/>
    <w:rsid w:val="00FC55CA"/>
    <w:rsid w:val="00FC5641"/>
    <w:rsid w:val="00FC65DA"/>
    <w:rsid w:val="00FD0AF0"/>
    <w:rsid w:val="00FD12AD"/>
    <w:rsid w:val="00FD21FF"/>
    <w:rsid w:val="00FD30BC"/>
    <w:rsid w:val="00FD7A01"/>
    <w:rsid w:val="00FD7CEE"/>
    <w:rsid w:val="00FE1CF3"/>
    <w:rsid w:val="00FE3C76"/>
    <w:rsid w:val="00FE41BC"/>
    <w:rsid w:val="00FE4491"/>
    <w:rsid w:val="00FE6685"/>
    <w:rsid w:val="00FE68C5"/>
    <w:rsid w:val="00FE6F87"/>
    <w:rsid w:val="00FE7040"/>
    <w:rsid w:val="00FE71AE"/>
    <w:rsid w:val="00FF128F"/>
    <w:rsid w:val="00FF1E86"/>
    <w:rsid w:val="00FF27A9"/>
    <w:rsid w:val="00FF42F8"/>
    <w:rsid w:val="00FF4745"/>
    <w:rsid w:val="00FF4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2C3F52-FACC-46F1-B102-F922EA72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A00"/>
    <w:pPr>
      <w:jc w:val="both"/>
    </w:pPr>
    <w:rPr>
      <w:rFonts w:eastAsia="Times New Roman" w:cs="Times New Roman"/>
      <w:szCs w:val="20"/>
    </w:rPr>
  </w:style>
  <w:style w:type="paragraph" w:styleId="Ttulo1">
    <w:name w:val="heading 1"/>
    <w:basedOn w:val="Normal"/>
    <w:next w:val="Normal"/>
    <w:link w:val="Ttulo1Car"/>
    <w:uiPriority w:val="9"/>
    <w:qFormat/>
    <w:rsid w:val="00EC56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37A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563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D37A86"/>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nhideWhenUsed/>
    <w:rsid w:val="00FF1E86"/>
    <w:pPr>
      <w:tabs>
        <w:tab w:val="center" w:pos="4419"/>
        <w:tab w:val="right" w:pos="8838"/>
      </w:tabs>
      <w:jc w:val="left"/>
    </w:pPr>
    <w:rPr>
      <w:rFonts w:eastAsiaTheme="minorHAnsi" w:cstheme="minorBidi"/>
      <w:szCs w:val="22"/>
    </w:rPr>
  </w:style>
  <w:style w:type="character" w:customStyle="1" w:styleId="EncabezadoCar">
    <w:name w:val="Encabezado Car"/>
    <w:basedOn w:val="Fuentedeprrafopredeter"/>
    <w:link w:val="Encabezado"/>
    <w:rsid w:val="00FF1E86"/>
  </w:style>
  <w:style w:type="paragraph" w:styleId="Piedepgina">
    <w:name w:val="footer"/>
    <w:basedOn w:val="Normal"/>
    <w:link w:val="PiedepginaCar"/>
    <w:uiPriority w:val="99"/>
    <w:unhideWhenUsed/>
    <w:rsid w:val="00FF1E86"/>
    <w:pPr>
      <w:tabs>
        <w:tab w:val="center" w:pos="4419"/>
        <w:tab w:val="right" w:pos="8838"/>
      </w:tabs>
      <w:jc w:val="left"/>
    </w:pPr>
    <w:rPr>
      <w:rFonts w:eastAsiaTheme="minorHAnsi" w:cstheme="minorBidi"/>
      <w:szCs w:val="22"/>
    </w:rPr>
  </w:style>
  <w:style w:type="character" w:customStyle="1" w:styleId="PiedepginaCar">
    <w:name w:val="Pie de página Car"/>
    <w:basedOn w:val="Fuentedeprrafopredeter"/>
    <w:link w:val="Piedepgina"/>
    <w:uiPriority w:val="99"/>
    <w:rsid w:val="00FF1E86"/>
  </w:style>
  <w:style w:type="paragraph" w:styleId="Textodeglobo">
    <w:name w:val="Balloon Text"/>
    <w:basedOn w:val="Normal"/>
    <w:link w:val="TextodegloboCar"/>
    <w:uiPriority w:val="99"/>
    <w:semiHidden/>
    <w:unhideWhenUsed/>
    <w:rsid w:val="00FF1E86"/>
    <w:pPr>
      <w:jc w:val="left"/>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F1E86"/>
    <w:rPr>
      <w:rFonts w:ascii="Tahoma" w:hAnsi="Tahoma" w:cs="Tahoma"/>
      <w:sz w:val="16"/>
      <w:szCs w:val="16"/>
    </w:rPr>
  </w:style>
  <w:style w:type="table" w:styleId="Tablaconcuadrcula">
    <w:name w:val="Table Grid"/>
    <w:basedOn w:val="Tablanormal"/>
    <w:uiPriority w:val="59"/>
    <w:rsid w:val="00583A00"/>
    <w:pPr>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3216"/>
    <w:pPr>
      <w:ind w:left="720"/>
      <w:contextualSpacing/>
    </w:pPr>
  </w:style>
  <w:style w:type="character" w:customStyle="1" w:styleId="apple-converted-space">
    <w:name w:val="apple-converted-space"/>
    <w:basedOn w:val="Fuentedeprrafopredeter"/>
    <w:rsid w:val="00A1015B"/>
  </w:style>
  <w:style w:type="paragraph" w:styleId="Textonotapie">
    <w:name w:val="footnote text"/>
    <w:basedOn w:val="Normal"/>
    <w:link w:val="TextonotapieCar"/>
    <w:uiPriority w:val="99"/>
    <w:semiHidden/>
    <w:unhideWhenUsed/>
    <w:rsid w:val="00C27FDE"/>
    <w:rPr>
      <w:sz w:val="20"/>
    </w:rPr>
  </w:style>
  <w:style w:type="character" w:customStyle="1" w:styleId="TextonotapieCar">
    <w:name w:val="Texto nota pie Car"/>
    <w:basedOn w:val="Fuentedeprrafopredeter"/>
    <w:link w:val="Textonotapie"/>
    <w:uiPriority w:val="99"/>
    <w:semiHidden/>
    <w:rsid w:val="00C27FDE"/>
    <w:rPr>
      <w:rFonts w:eastAsia="Times New Roman" w:cs="Times New Roman"/>
      <w:sz w:val="20"/>
      <w:szCs w:val="20"/>
    </w:rPr>
  </w:style>
  <w:style w:type="character" w:styleId="Refdenotaalpie">
    <w:name w:val="footnote reference"/>
    <w:basedOn w:val="Fuentedeprrafopredeter"/>
    <w:uiPriority w:val="99"/>
    <w:semiHidden/>
    <w:unhideWhenUsed/>
    <w:rsid w:val="00C27FDE"/>
    <w:rPr>
      <w:vertAlign w:val="superscript"/>
    </w:rPr>
  </w:style>
  <w:style w:type="paragraph" w:styleId="TDC1">
    <w:name w:val="toc 1"/>
    <w:basedOn w:val="Normal"/>
    <w:next w:val="Normal"/>
    <w:autoRedefine/>
    <w:uiPriority w:val="39"/>
    <w:unhideWhenUsed/>
    <w:rsid w:val="00D6497E"/>
    <w:pPr>
      <w:tabs>
        <w:tab w:val="right" w:leader="dot" w:pos="9964"/>
      </w:tabs>
    </w:pPr>
    <w:rPr>
      <w:rFonts w:cs="Arial"/>
      <w:noProof/>
      <w:sz w:val="22"/>
    </w:rPr>
  </w:style>
  <w:style w:type="character" w:styleId="Hipervnculo">
    <w:name w:val="Hyperlink"/>
    <w:basedOn w:val="Fuentedeprrafopredeter"/>
    <w:uiPriority w:val="99"/>
    <w:unhideWhenUsed/>
    <w:rsid w:val="00EC5634"/>
    <w:rPr>
      <w:color w:val="0000FF" w:themeColor="hyperlink"/>
      <w:u w:val="single"/>
    </w:rPr>
  </w:style>
  <w:style w:type="paragraph" w:styleId="Textoindependiente">
    <w:name w:val="Body Text"/>
    <w:basedOn w:val="Normal"/>
    <w:link w:val="TextoindependienteCar"/>
    <w:rsid w:val="00D37A86"/>
    <w:rPr>
      <w:lang w:val="es-MX" w:eastAsia="es-ES"/>
    </w:rPr>
  </w:style>
  <w:style w:type="character" w:customStyle="1" w:styleId="TextoindependienteCar">
    <w:name w:val="Texto independiente Car"/>
    <w:basedOn w:val="Fuentedeprrafopredeter"/>
    <w:link w:val="Textoindependiente"/>
    <w:rsid w:val="00D37A86"/>
    <w:rPr>
      <w:rFonts w:eastAsia="Times New Roman" w:cs="Times New Roman"/>
      <w:szCs w:val="20"/>
      <w:lang w:val="es-MX" w:eastAsia="es-ES"/>
    </w:rPr>
  </w:style>
  <w:style w:type="paragraph" w:styleId="Textonotaalfinal">
    <w:name w:val="endnote text"/>
    <w:basedOn w:val="Normal"/>
    <w:link w:val="TextonotaalfinalCar"/>
    <w:uiPriority w:val="99"/>
    <w:semiHidden/>
    <w:unhideWhenUsed/>
    <w:rsid w:val="00230DC6"/>
    <w:rPr>
      <w:sz w:val="20"/>
    </w:rPr>
  </w:style>
  <w:style w:type="character" w:customStyle="1" w:styleId="TextonotaalfinalCar">
    <w:name w:val="Texto nota al final Car"/>
    <w:basedOn w:val="Fuentedeprrafopredeter"/>
    <w:link w:val="Textonotaalfinal"/>
    <w:uiPriority w:val="99"/>
    <w:semiHidden/>
    <w:rsid w:val="00230DC6"/>
    <w:rPr>
      <w:rFonts w:eastAsia="Times New Roman" w:cs="Times New Roman"/>
      <w:sz w:val="20"/>
      <w:szCs w:val="20"/>
    </w:rPr>
  </w:style>
  <w:style w:type="character" w:styleId="Refdenotaalfinal">
    <w:name w:val="endnote reference"/>
    <w:basedOn w:val="Fuentedeprrafopredeter"/>
    <w:uiPriority w:val="99"/>
    <w:semiHidden/>
    <w:unhideWhenUsed/>
    <w:rsid w:val="00230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7506">
      <w:bodyDiv w:val="1"/>
      <w:marLeft w:val="0"/>
      <w:marRight w:val="0"/>
      <w:marTop w:val="0"/>
      <w:marBottom w:val="0"/>
      <w:divBdr>
        <w:top w:val="none" w:sz="0" w:space="0" w:color="auto"/>
        <w:left w:val="none" w:sz="0" w:space="0" w:color="auto"/>
        <w:bottom w:val="none" w:sz="0" w:space="0" w:color="auto"/>
        <w:right w:val="none" w:sz="0" w:space="0" w:color="auto"/>
      </w:divBdr>
    </w:div>
    <w:div w:id="50427214">
      <w:bodyDiv w:val="1"/>
      <w:marLeft w:val="0"/>
      <w:marRight w:val="0"/>
      <w:marTop w:val="0"/>
      <w:marBottom w:val="0"/>
      <w:divBdr>
        <w:top w:val="none" w:sz="0" w:space="0" w:color="auto"/>
        <w:left w:val="none" w:sz="0" w:space="0" w:color="auto"/>
        <w:bottom w:val="none" w:sz="0" w:space="0" w:color="auto"/>
        <w:right w:val="none" w:sz="0" w:space="0" w:color="auto"/>
      </w:divBdr>
    </w:div>
    <w:div w:id="76485242">
      <w:bodyDiv w:val="1"/>
      <w:marLeft w:val="0"/>
      <w:marRight w:val="0"/>
      <w:marTop w:val="0"/>
      <w:marBottom w:val="0"/>
      <w:divBdr>
        <w:top w:val="none" w:sz="0" w:space="0" w:color="auto"/>
        <w:left w:val="none" w:sz="0" w:space="0" w:color="auto"/>
        <w:bottom w:val="none" w:sz="0" w:space="0" w:color="auto"/>
        <w:right w:val="none" w:sz="0" w:space="0" w:color="auto"/>
      </w:divBdr>
    </w:div>
    <w:div w:id="109594013">
      <w:bodyDiv w:val="1"/>
      <w:marLeft w:val="0"/>
      <w:marRight w:val="0"/>
      <w:marTop w:val="0"/>
      <w:marBottom w:val="0"/>
      <w:divBdr>
        <w:top w:val="none" w:sz="0" w:space="0" w:color="auto"/>
        <w:left w:val="none" w:sz="0" w:space="0" w:color="auto"/>
        <w:bottom w:val="none" w:sz="0" w:space="0" w:color="auto"/>
        <w:right w:val="none" w:sz="0" w:space="0" w:color="auto"/>
      </w:divBdr>
    </w:div>
    <w:div w:id="110394671">
      <w:bodyDiv w:val="1"/>
      <w:marLeft w:val="0"/>
      <w:marRight w:val="0"/>
      <w:marTop w:val="0"/>
      <w:marBottom w:val="0"/>
      <w:divBdr>
        <w:top w:val="none" w:sz="0" w:space="0" w:color="auto"/>
        <w:left w:val="none" w:sz="0" w:space="0" w:color="auto"/>
        <w:bottom w:val="none" w:sz="0" w:space="0" w:color="auto"/>
        <w:right w:val="none" w:sz="0" w:space="0" w:color="auto"/>
      </w:divBdr>
    </w:div>
    <w:div w:id="189880920">
      <w:bodyDiv w:val="1"/>
      <w:marLeft w:val="0"/>
      <w:marRight w:val="0"/>
      <w:marTop w:val="0"/>
      <w:marBottom w:val="0"/>
      <w:divBdr>
        <w:top w:val="none" w:sz="0" w:space="0" w:color="auto"/>
        <w:left w:val="none" w:sz="0" w:space="0" w:color="auto"/>
        <w:bottom w:val="none" w:sz="0" w:space="0" w:color="auto"/>
        <w:right w:val="none" w:sz="0" w:space="0" w:color="auto"/>
      </w:divBdr>
    </w:div>
    <w:div w:id="221185444">
      <w:bodyDiv w:val="1"/>
      <w:marLeft w:val="0"/>
      <w:marRight w:val="0"/>
      <w:marTop w:val="0"/>
      <w:marBottom w:val="0"/>
      <w:divBdr>
        <w:top w:val="none" w:sz="0" w:space="0" w:color="auto"/>
        <w:left w:val="none" w:sz="0" w:space="0" w:color="auto"/>
        <w:bottom w:val="none" w:sz="0" w:space="0" w:color="auto"/>
        <w:right w:val="none" w:sz="0" w:space="0" w:color="auto"/>
      </w:divBdr>
    </w:div>
    <w:div w:id="248928079">
      <w:bodyDiv w:val="1"/>
      <w:marLeft w:val="0"/>
      <w:marRight w:val="0"/>
      <w:marTop w:val="0"/>
      <w:marBottom w:val="0"/>
      <w:divBdr>
        <w:top w:val="none" w:sz="0" w:space="0" w:color="auto"/>
        <w:left w:val="none" w:sz="0" w:space="0" w:color="auto"/>
        <w:bottom w:val="none" w:sz="0" w:space="0" w:color="auto"/>
        <w:right w:val="none" w:sz="0" w:space="0" w:color="auto"/>
      </w:divBdr>
    </w:div>
    <w:div w:id="288435995">
      <w:bodyDiv w:val="1"/>
      <w:marLeft w:val="0"/>
      <w:marRight w:val="0"/>
      <w:marTop w:val="0"/>
      <w:marBottom w:val="0"/>
      <w:divBdr>
        <w:top w:val="none" w:sz="0" w:space="0" w:color="auto"/>
        <w:left w:val="none" w:sz="0" w:space="0" w:color="auto"/>
        <w:bottom w:val="none" w:sz="0" w:space="0" w:color="auto"/>
        <w:right w:val="none" w:sz="0" w:space="0" w:color="auto"/>
      </w:divBdr>
    </w:div>
    <w:div w:id="317733103">
      <w:bodyDiv w:val="1"/>
      <w:marLeft w:val="0"/>
      <w:marRight w:val="0"/>
      <w:marTop w:val="0"/>
      <w:marBottom w:val="0"/>
      <w:divBdr>
        <w:top w:val="none" w:sz="0" w:space="0" w:color="auto"/>
        <w:left w:val="none" w:sz="0" w:space="0" w:color="auto"/>
        <w:bottom w:val="none" w:sz="0" w:space="0" w:color="auto"/>
        <w:right w:val="none" w:sz="0" w:space="0" w:color="auto"/>
      </w:divBdr>
    </w:div>
    <w:div w:id="401216055">
      <w:bodyDiv w:val="1"/>
      <w:marLeft w:val="0"/>
      <w:marRight w:val="0"/>
      <w:marTop w:val="0"/>
      <w:marBottom w:val="0"/>
      <w:divBdr>
        <w:top w:val="none" w:sz="0" w:space="0" w:color="auto"/>
        <w:left w:val="none" w:sz="0" w:space="0" w:color="auto"/>
        <w:bottom w:val="none" w:sz="0" w:space="0" w:color="auto"/>
        <w:right w:val="none" w:sz="0" w:space="0" w:color="auto"/>
      </w:divBdr>
    </w:div>
    <w:div w:id="445271086">
      <w:bodyDiv w:val="1"/>
      <w:marLeft w:val="0"/>
      <w:marRight w:val="0"/>
      <w:marTop w:val="0"/>
      <w:marBottom w:val="0"/>
      <w:divBdr>
        <w:top w:val="none" w:sz="0" w:space="0" w:color="auto"/>
        <w:left w:val="none" w:sz="0" w:space="0" w:color="auto"/>
        <w:bottom w:val="none" w:sz="0" w:space="0" w:color="auto"/>
        <w:right w:val="none" w:sz="0" w:space="0" w:color="auto"/>
      </w:divBdr>
    </w:div>
    <w:div w:id="456677561">
      <w:bodyDiv w:val="1"/>
      <w:marLeft w:val="0"/>
      <w:marRight w:val="0"/>
      <w:marTop w:val="0"/>
      <w:marBottom w:val="0"/>
      <w:divBdr>
        <w:top w:val="none" w:sz="0" w:space="0" w:color="auto"/>
        <w:left w:val="none" w:sz="0" w:space="0" w:color="auto"/>
        <w:bottom w:val="none" w:sz="0" w:space="0" w:color="auto"/>
        <w:right w:val="none" w:sz="0" w:space="0" w:color="auto"/>
      </w:divBdr>
    </w:div>
    <w:div w:id="572660022">
      <w:bodyDiv w:val="1"/>
      <w:marLeft w:val="0"/>
      <w:marRight w:val="0"/>
      <w:marTop w:val="0"/>
      <w:marBottom w:val="0"/>
      <w:divBdr>
        <w:top w:val="none" w:sz="0" w:space="0" w:color="auto"/>
        <w:left w:val="none" w:sz="0" w:space="0" w:color="auto"/>
        <w:bottom w:val="none" w:sz="0" w:space="0" w:color="auto"/>
        <w:right w:val="none" w:sz="0" w:space="0" w:color="auto"/>
      </w:divBdr>
    </w:div>
    <w:div w:id="585917343">
      <w:bodyDiv w:val="1"/>
      <w:marLeft w:val="0"/>
      <w:marRight w:val="0"/>
      <w:marTop w:val="0"/>
      <w:marBottom w:val="0"/>
      <w:divBdr>
        <w:top w:val="none" w:sz="0" w:space="0" w:color="auto"/>
        <w:left w:val="none" w:sz="0" w:space="0" w:color="auto"/>
        <w:bottom w:val="none" w:sz="0" w:space="0" w:color="auto"/>
        <w:right w:val="none" w:sz="0" w:space="0" w:color="auto"/>
      </w:divBdr>
    </w:div>
    <w:div w:id="601030900">
      <w:bodyDiv w:val="1"/>
      <w:marLeft w:val="0"/>
      <w:marRight w:val="0"/>
      <w:marTop w:val="0"/>
      <w:marBottom w:val="0"/>
      <w:divBdr>
        <w:top w:val="none" w:sz="0" w:space="0" w:color="auto"/>
        <w:left w:val="none" w:sz="0" w:space="0" w:color="auto"/>
        <w:bottom w:val="none" w:sz="0" w:space="0" w:color="auto"/>
        <w:right w:val="none" w:sz="0" w:space="0" w:color="auto"/>
      </w:divBdr>
    </w:div>
    <w:div w:id="614799538">
      <w:bodyDiv w:val="1"/>
      <w:marLeft w:val="0"/>
      <w:marRight w:val="0"/>
      <w:marTop w:val="0"/>
      <w:marBottom w:val="0"/>
      <w:divBdr>
        <w:top w:val="none" w:sz="0" w:space="0" w:color="auto"/>
        <w:left w:val="none" w:sz="0" w:space="0" w:color="auto"/>
        <w:bottom w:val="none" w:sz="0" w:space="0" w:color="auto"/>
        <w:right w:val="none" w:sz="0" w:space="0" w:color="auto"/>
      </w:divBdr>
    </w:div>
    <w:div w:id="630672572">
      <w:bodyDiv w:val="1"/>
      <w:marLeft w:val="0"/>
      <w:marRight w:val="0"/>
      <w:marTop w:val="0"/>
      <w:marBottom w:val="0"/>
      <w:divBdr>
        <w:top w:val="none" w:sz="0" w:space="0" w:color="auto"/>
        <w:left w:val="none" w:sz="0" w:space="0" w:color="auto"/>
        <w:bottom w:val="none" w:sz="0" w:space="0" w:color="auto"/>
        <w:right w:val="none" w:sz="0" w:space="0" w:color="auto"/>
      </w:divBdr>
      <w:divsChild>
        <w:div w:id="484128817">
          <w:marLeft w:val="0"/>
          <w:marRight w:val="0"/>
          <w:marTop w:val="0"/>
          <w:marBottom w:val="0"/>
          <w:divBdr>
            <w:top w:val="none" w:sz="0" w:space="0" w:color="auto"/>
            <w:left w:val="none" w:sz="0" w:space="0" w:color="auto"/>
            <w:bottom w:val="none" w:sz="0" w:space="0" w:color="auto"/>
            <w:right w:val="none" w:sz="0" w:space="0" w:color="auto"/>
          </w:divBdr>
        </w:div>
        <w:div w:id="1318680437">
          <w:marLeft w:val="0"/>
          <w:marRight w:val="46"/>
          <w:marTop w:val="35"/>
          <w:marBottom w:val="0"/>
          <w:divBdr>
            <w:top w:val="none" w:sz="0" w:space="0" w:color="auto"/>
            <w:left w:val="none" w:sz="0" w:space="0" w:color="auto"/>
            <w:bottom w:val="none" w:sz="0" w:space="0" w:color="auto"/>
            <w:right w:val="none" w:sz="0" w:space="0" w:color="auto"/>
          </w:divBdr>
        </w:div>
      </w:divsChild>
    </w:div>
    <w:div w:id="648023578">
      <w:bodyDiv w:val="1"/>
      <w:marLeft w:val="0"/>
      <w:marRight w:val="0"/>
      <w:marTop w:val="0"/>
      <w:marBottom w:val="0"/>
      <w:divBdr>
        <w:top w:val="none" w:sz="0" w:space="0" w:color="auto"/>
        <w:left w:val="none" w:sz="0" w:space="0" w:color="auto"/>
        <w:bottom w:val="none" w:sz="0" w:space="0" w:color="auto"/>
        <w:right w:val="none" w:sz="0" w:space="0" w:color="auto"/>
      </w:divBdr>
      <w:divsChild>
        <w:div w:id="580601458">
          <w:marLeft w:val="0"/>
          <w:marRight w:val="0"/>
          <w:marTop w:val="0"/>
          <w:marBottom w:val="0"/>
          <w:divBdr>
            <w:top w:val="none" w:sz="0" w:space="0" w:color="auto"/>
            <w:left w:val="none" w:sz="0" w:space="0" w:color="auto"/>
            <w:bottom w:val="none" w:sz="0" w:space="0" w:color="auto"/>
            <w:right w:val="none" w:sz="0" w:space="0" w:color="auto"/>
          </w:divBdr>
        </w:div>
        <w:div w:id="661665957">
          <w:marLeft w:val="0"/>
          <w:marRight w:val="0"/>
          <w:marTop w:val="0"/>
          <w:marBottom w:val="0"/>
          <w:divBdr>
            <w:top w:val="none" w:sz="0" w:space="0" w:color="auto"/>
            <w:left w:val="none" w:sz="0" w:space="0" w:color="auto"/>
            <w:bottom w:val="none" w:sz="0" w:space="0" w:color="auto"/>
            <w:right w:val="none" w:sz="0" w:space="0" w:color="auto"/>
          </w:divBdr>
        </w:div>
        <w:div w:id="789318255">
          <w:marLeft w:val="0"/>
          <w:marRight w:val="0"/>
          <w:marTop w:val="0"/>
          <w:marBottom w:val="0"/>
          <w:divBdr>
            <w:top w:val="none" w:sz="0" w:space="0" w:color="auto"/>
            <w:left w:val="none" w:sz="0" w:space="0" w:color="auto"/>
            <w:bottom w:val="none" w:sz="0" w:space="0" w:color="auto"/>
            <w:right w:val="none" w:sz="0" w:space="0" w:color="auto"/>
          </w:divBdr>
        </w:div>
        <w:div w:id="1290168713">
          <w:marLeft w:val="0"/>
          <w:marRight w:val="0"/>
          <w:marTop w:val="0"/>
          <w:marBottom w:val="0"/>
          <w:divBdr>
            <w:top w:val="none" w:sz="0" w:space="0" w:color="auto"/>
            <w:left w:val="none" w:sz="0" w:space="0" w:color="auto"/>
            <w:bottom w:val="none" w:sz="0" w:space="0" w:color="auto"/>
            <w:right w:val="none" w:sz="0" w:space="0" w:color="auto"/>
          </w:divBdr>
        </w:div>
        <w:div w:id="1313944659">
          <w:marLeft w:val="0"/>
          <w:marRight w:val="0"/>
          <w:marTop w:val="0"/>
          <w:marBottom w:val="0"/>
          <w:divBdr>
            <w:top w:val="none" w:sz="0" w:space="0" w:color="auto"/>
            <w:left w:val="none" w:sz="0" w:space="0" w:color="auto"/>
            <w:bottom w:val="none" w:sz="0" w:space="0" w:color="auto"/>
            <w:right w:val="none" w:sz="0" w:space="0" w:color="auto"/>
          </w:divBdr>
        </w:div>
        <w:div w:id="1768964260">
          <w:marLeft w:val="0"/>
          <w:marRight w:val="0"/>
          <w:marTop w:val="0"/>
          <w:marBottom w:val="0"/>
          <w:divBdr>
            <w:top w:val="none" w:sz="0" w:space="0" w:color="auto"/>
            <w:left w:val="none" w:sz="0" w:space="0" w:color="auto"/>
            <w:bottom w:val="none" w:sz="0" w:space="0" w:color="auto"/>
            <w:right w:val="none" w:sz="0" w:space="0" w:color="auto"/>
          </w:divBdr>
        </w:div>
        <w:div w:id="2124227464">
          <w:marLeft w:val="0"/>
          <w:marRight w:val="0"/>
          <w:marTop w:val="0"/>
          <w:marBottom w:val="0"/>
          <w:divBdr>
            <w:top w:val="none" w:sz="0" w:space="0" w:color="auto"/>
            <w:left w:val="none" w:sz="0" w:space="0" w:color="auto"/>
            <w:bottom w:val="none" w:sz="0" w:space="0" w:color="auto"/>
            <w:right w:val="none" w:sz="0" w:space="0" w:color="auto"/>
          </w:divBdr>
        </w:div>
      </w:divsChild>
    </w:div>
    <w:div w:id="648873437">
      <w:bodyDiv w:val="1"/>
      <w:marLeft w:val="0"/>
      <w:marRight w:val="0"/>
      <w:marTop w:val="0"/>
      <w:marBottom w:val="0"/>
      <w:divBdr>
        <w:top w:val="none" w:sz="0" w:space="0" w:color="auto"/>
        <w:left w:val="none" w:sz="0" w:space="0" w:color="auto"/>
        <w:bottom w:val="none" w:sz="0" w:space="0" w:color="auto"/>
        <w:right w:val="none" w:sz="0" w:space="0" w:color="auto"/>
      </w:divBdr>
    </w:div>
    <w:div w:id="672420694">
      <w:bodyDiv w:val="1"/>
      <w:marLeft w:val="0"/>
      <w:marRight w:val="0"/>
      <w:marTop w:val="0"/>
      <w:marBottom w:val="0"/>
      <w:divBdr>
        <w:top w:val="none" w:sz="0" w:space="0" w:color="auto"/>
        <w:left w:val="none" w:sz="0" w:space="0" w:color="auto"/>
        <w:bottom w:val="none" w:sz="0" w:space="0" w:color="auto"/>
        <w:right w:val="none" w:sz="0" w:space="0" w:color="auto"/>
      </w:divBdr>
    </w:div>
    <w:div w:id="712727539">
      <w:bodyDiv w:val="1"/>
      <w:marLeft w:val="0"/>
      <w:marRight w:val="0"/>
      <w:marTop w:val="0"/>
      <w:marBottom w:val="0"/>
      <w:divBdr>
        <w:top w:val="none" w:sz="0" w:space="0" w:color="auto"/>
        <w:left w:val="none" w:sz="0" w:space="0" w:color="auto"/>
        <w:bottom w:val="none" w:sz="0" w:space="0" w:color="auto"/>
        <w:right w:val="none" w:sz="0" w:space="0" w:color="auto"/>
      </w:divBdr>
    </w:div>
    <w:div w:id="732238741">
      <w:bodyDiv w:val="1"/>
      <w:marLeft w:val="0"/>
      <w:marRight w:val="0"/>
      <w:marTop w:val="0"/>
      <w:marBottom w:val="0"/>
      <w:divBdr>
        <w:top w:val="none" w:sz="0" w:space="0" w:color="auto"/>
        <w:left w:val="none" w:sz="0" w:space="0" w:color="auto"/>
        <w:bottom w:val="none" w:sz="0" w:space="0" w:color="auto"/>
        <w:right w:val="none" w:sz="0" w:space="0" w:color="auto"/>
      </w:divBdr>
    </w:div>
    <w:div w:id="787702545">
      <w:bodyDiv w:val="1"/>
      <w:marLeft w:val="0"/>
      <w:marRight w:val="0"/>
      <w:marTop w:val="0"/>
      <w:marBottom w:val="0"/>
      <w:divBdr>
        <w:top w:val="none" w:sz="0" w:space="0" w:color="auto"/>
        <w:left w:val="none" w:sz="0" w:space="0" w:color="auto"/>
        <w:bottom w:val="none" w:sz="0" w:space="0" w:color="auto"/>
        <w:right w:val="none" w:sz="0" w:space="0" w:color="auto"/>
      </w:divBdr>
    </w:div>
    <w:div w:id="846166790">
      <w:bodyDiv w:val="1"/>
      <w:marLeft w:val="0"/>
      <w:marRight w:val="0"/>
      <w:marTop w:val="0"/>
      <w:marBottom w:val="0"/>
      <w:divBdr>
        <w:top w:val="none" w:sz="0" w:space="0" w:color="auto"/>
        <w:left w:val="none" w:sz="0" w:space="0" w:color="auto"/>
        <w:bottom w:val="none" w:sz="0" w:space="0" w:color="auto"/>
        <w:right w:val="none" w:sz="0" w:space="0" w:color="auto"/>
      </w:divBdr>
    </w:div>
    <w:div w:id="849880229">
      <w:bodyDiv w:val="1"/>
      <w:marLeft w:val="0"/>
      <w:marRight w:val="0"/>
      <w:marTop w:val="0"/>
      <w:marBottom w:val="0"/>
      <w:divBdr>
        <w:top w:val="none" w:sz="0" w:space="0" w:color="auto"/>
        <w:left w:val="none" w:sz="0" w:space="0" w:color="auto"/>
        <w:bottom w:val="none" w:sz="0" w:space="0" w:color="auto"/>
        <w:right w:val="none" w:sz="0" w:space="0" w:color="auto"/>
      </w:divBdr>
    </w:div>
    <w:div w:id="859509478">
      <w:bodyDiv w:val="1"/>
      <w:marLeft w:val="0"/>
      <w:marRight w:val="0"/>
      <w:marTop w:val="0"/>
      <w:marBottom w:val="0"/>
      <w:divBdr>
        <w:top w:val="none" w:sz="0" w:space="0" w:color="auto"/>
        <w:left w:val="none" w:sz="0" w:space="0" w:color="auto"/>
        <w:bottom w:val="none" w:sz="0" w:space="0" w:color="auto"/>
        <w:right w:val="none" w:sz="0" w:space="0" w:color="auto"/>
      </w:divBdr>
    </w:div>
    <w:div w:id="879438735">
      <w:bodyDiv w:val="1"/>
      <w:marLeft w:val="0"/>
      <w:marRight w:val="0"/>
      <w:marTop w:val="0"/>
      <w:marBottom w:val="0"/>
      <w:divBdr>
        <w:top w:val="none" w:sz="0" w:space="0" w:color="auto"/>
        <w:left w:val="none" w:sz="0" w:space="0" w:color="auto"/>
        <w:bottom w:val="none" w:sz="0" w:space="0" w:color="auto"/>
        <w:right w:val="none" w:sz="0" w:space="0" w:color="auto"/>
      </w:divBdr>
    </w:div>
    <w:div w:id="896282392">
      <w:bodyDiv w:val="1"/>
      <w:marLeft w:val="0"/>
      <w:marRight w:val="0"/>
      <w:marTop w:val="0"/>
      <w:marBottom w:val="0"/>
      <w:divBdr>
        <w:top w:val="none" w:sz="0" w:space="0" w:color="auto"/>
        <w:left w:val="none" w:sz="0" w:space="0" w:color="auto"/>
        <w:bottom w:val="none" w:sz="0" w:space="0" w:color="auto"/>
        <w:right w:val="none" w:sz="0" w:space="0" w:color="auto"/>
      </w:divBdr>
    </w:div>
    <w:div w:id="950665378">
      <w:bodyDiv w:val="1"/>
      <w:marLeft w:val="0"/>
      <w:marRight w:val="0"/>
      <w:marTop w:val="0"/>
      <w:marBottom w:val="0"/>
      <w:divBdr>
        <w:top w:val="none" w:sz="0" w:space="0" w:color="auto"/>
        <w:left w:val="none" w:sz="0" w:space="0" w:color="auto"/>
        <w:bottom w:val="none" w:sz="0" w:space="0" w:color="auto"/>
        <w:right w:val="none" w:sz="0" w:space="0" w:color="auto"/>
      </w:divBdr>
    </w:div>
    <w:div w:id="955866792">
      <w:bodyDiv w:val="1"/>
      <w:marLeft w:val="0"/>
      <w:marRight w:val="0"/>
      <w:marTop w:val="0"/>
      <w:marBottom w:val="0"/>
      <w:divBdr>
        <w:top w:val="none" w:sz="0" w:space="0" w:color="auto"/>
        <w:left w:val="none" w:sz="0" w:space="0" w:color="auto"/>
        <w:bottom w:val="none" w:sz="0" w:space="0" w:color="auto"/>
        <w:right w:val="none" w:sz="0" w:space="0" w:color="auto"/>
      </w:divBdr>
    </w:div>
    <w:div w:id="979191032">
      <w:bodyDiv w:val="1"/>
      <w:marLeft w:val="0"/>
      <w:marRight w:val="0"/>
      <w:marTop w:val="0"/>
      <w:marBottom w:val="0"/>
      <w:divBdr>
        <w:top w:val="none" w:sz="0" w:space="0" w:color="auto"/>
        <w:left w:val="none" w:sz="0" w:space="0" w:color="auto"/>
        <w:bottom w:val="none" w:sz="0" w:space="0" w:color="auto"/>
        <w:right w:val="none" w:sz="0" w:space="0" w:color="auto"/>
      </w:divBdr>
    </w:div>
    <w:div w:id="999501139">
      <w:bodyDiv w:val="1"/>
      <w:marLeft w:val="0"/>
      <w:marRight w:val="0"/>
      <w:marTop w:val="0"/>
      <w:marBottom w:val="0"/>
      <w:divBdr>
        <w:top w:val="none" w:sz="0" w:space="0" w:color="auto"/>
        <w:left w:val="none" w:sz="0" w:space="0" w:color="auto"/>
        <w:bottom w:val="none" w:sz="0" w:space="0" w:color="auto"/>
        <w:right w:val="none" w:sz="0" w:space="0" w:color="auto"/>
      </w:divBdr>
      <w:divsChild>
        <w:div w:id="1343168475">
          <w:marLeft w:val="0"/>
          <w:marRight w:val="0"/>
          <w:marTop w:val="0"/>
          <w:marBottom w:val="0"/>
          <w:divBdr>
            <w:top w:val="none" w:sz="0" w:space="0" w:color="auto"/>
            <w:left w:val="none" w:sz="0" w:space="0" w:color="auto"/>
            <w:bottom w:val="none" w:sz="0" w:space="0" w:color="auto"/>
            <w:right w:val="none" w:sz="0" w:space="0" w:color="auto"/>
          </w:divBdr>
        </w:div>
        <w:div w:id="948391520">
          <w:marLeft w:val="0"/>
          <w:marRight w:val="0"/>
          <w:marTop w:val="0"/>
          <w:marBottom w:val="0"/>
          <w:divBdr>
            <w:top w:val="none" w:sz="0" w:space="0" w:color="auto"/>
            <w:left w:val="none" w:sz="0" w:space="0" w:color="auto"/>
            <w:bottom w:val="none" w:sz="0" w:space="0" w:color="auto"/>
            <w:right w:val="none" w:sz="0" w:space="0" w:color="auto"/>
          </w:divBdr>
        </w:div>
        <w:div w:id="1625651330">
          <w:marLeft w:val="0"/>
          <w:marRight w:val="0"/>
          <w:marTop w:val="0"/>
          <w:marBottom w:val="0"/>
          <w:divBdr>
            <w:top w:val="none" w:sz="0" w:space="0" w:color="auto"/>
            <w:left w:val="none" w:sz="0" w:space="0" w:color="auto"/>
            <w:bottom w:val="none" w:sz="0" w:space="0" w:color="auto"/>
            <w:right w:val="none" w:sz="0" w:space="0" w:color="auto"/>
          </w:divBdr>
        </w:div>
      </w:divsChild>
    </w:div>
    <w:div w:id="1021315822">
      <w:bodyDiv w:val="1"/>
      <w:marLeft w:val="0"/>
      <w:marRight w:val="0"/>
      <w:marTop w:val="0"/>
      <w:marBottom w:val="0"/>
      <w:divBdr>
        <w:top w:val="none" w:sz="0" w:space="0" w:color="auto"/>
        <w:left w:val="none" w:sz="0" w:space="0" w:color="auto"/>
        <w:bottom w:val="none" w:sz="0" w:space="0" w:color="auto"/>
        <w:right w:val="none" w:sz="0" w:space="0" w:color="auto"/>
      </w:divBdr>
      <w:divsChild>
        <w:div w:id="49574070">
          <w:marLeft w:val="0"/>
          <w:marRight w:val="0"/>
          <w:marTop w:val="0"/>
          <w:marBottom w:val="0"/>
          <w:divBdr>
            <w:top w:val="none" w:sz="0" w:space="0" w:color="auto"/>
            <w:left w:val="none" w:sz="0" w:space="0" w:color="auto"/>
            <w:bottom w:val="none" w:sz="0" w:space="0" w:color="auto"/>
            <w:right w:val="none" w:sz="0" w:space="0" w:color="auto"/>
          </w:divBdr>
        </w:div>
        <w:div w:id="551960804">
          <w:marLeft w:val="0"/>
          <w:marRight w:val="0"/>
          <w:marTop w:val="0"/>
          <w:marBottom w:val="0"/>
          <w:divBdr>
            <w:top w:val="none" w:sz="0" w:space="0" w:color="auto"/>
            <w:left w:val="none" w:sz="0" w:space="0" w:color="auto"/>
            <w:bottom w:val="none" w:sz="0" w:space="0" w:color="auto"/>
            <w:right w:val="none" w:sz="0" w:space="0" w:color="auto"/>
          </w:divBdr>
        </w:div>
        <w:div w:id="1990086669">
          <w:marLeft w:val="0"/>
          <w:marRight w:val="0"/>
          <w:marTop w:val="0"/>
          <w:marBottom w:val="0"/>
          <w:divBdr>
            <w:top w:val="none" w:sz="0" w:space="0" w:color="auto"/>
            <w:left w:val="none" w:sz="0" w:space="0" w:color="auto"/>
            <w:bottom w:val="none" w:sz="0" w:space="0" w:color="auto"/>
            <w:right w:val="none" w:sz="0" w:space="0" w:color="auto"/>
          </w:divBdr>
        </w:div>
        <w:div w:id="872620690">
          <w:marLeft w:val="0"/>
          <w:marRight w:val="0"/>
          <w:marTop w:val="0"/>
          <w:marBottom w:val="0"/>
          <w:divBdr>
            <w:top w:val="none" w:sz="0" w:space="0" w:color="auto"/>
            <w:left w:val="none" w:sz="0" w:space="0" w:color="auto"/>
            <w:bottom w:val="none" w:sz="0" w:space="0" w:color="auto"/>
            <w:right w:val="none" w:sz="0" w:space="0" w:color="auto"/>
          </w:divBdr>
        </w:div>
      </w:divsChild>
    </w:div>
    <w:div w:id="1053313769">
      <w:bodyDiv w:val="1"/>
      <w:marLeft w:val="0"/>
      <w:marRight w:val="0"/>
      <w:marTop w:val="0"/>
      <w:marBottom w:val="0"/>
      <w:divBdr>
        <w:top w:val="none" w:sz="0" w:space="0" w:color="auto"/>
        <w:left w:val="none" w:sz="0" w:space="0" w:color="auto"/>
        <w:bottom w:val="none" w:sz="0" w:space="0" w:color="auto"/>
        <w:right w:val="none" w:sz="0" w:space="0" w:color="auto"/>
      </w:divBdr>
    </w:div>
    <w:div w:id="1080298111">
      <w:bodyDiv w:val="1"/>
      <w:marLeft w:val="0"/>
      <w:marRight w:val="0"/>
      <w:marTop w:val="0"/>
      <w:marBottom w:val="0"/>
      <w:divBdr>
        <w:top w:val="none" w:sz="0" w:space="0" w:color="auto"/>
        <w:left w:val="none" w:sz="0" w:space="0" w:color="auto"/>
        <w:bottom w:val="none" w:sz="0" w:space="0" w:color="auto"/>
        <w:right w:val="none" w:sz="0" w:space="0" w:color="auto"/>
      </w:divBdr>
      <w:divsChild>
        <w:div w:id="986202984">
          <w:marLeft w:val="0"/>
          <w:marRight w:val="0"/>
          <w:marTop w:val="0"/>
          <w:marBottom w:val="0"/>
          <w:divBdr>
            <w:top w:val="none" w:sz="0" w:space="0" w:color="auto"/>
            <w:left w:val="none" w:sz="0" w:space="0" w:color="auto"/>
            <w:bottom w:val="single" w:sz="4" w:space="0" w:color="C5DBEC"/>
            <w:right w:val="none" w:sz="0" w:space="0" w:color="auto"/>
          </w:divBdr>
          <w:divsChild>
            <w:div w:id="2044093692">
              <w:marLeft w:val="0"/>
              <w:marRight w:val="0"/>
              <w:marTop w:val="0"/>
              <w:marBottom w:val="0"/>
              <w:divBdr>
                <w:top w:val="none" w:sz="0" w:space="0" w:color="auto"/>
                <w:left w:val="none" w:sz="0" w:space="0" w:color="auto"/>
                <w:bottom w:val="none" w:sz="0" w:space="0" w:color="auto"/>
                <w:right w:val="none" w:sz="0" w:space="0" w:color="auto"/>
              </w:divBdr>
              <w:divsChild>
                <w:div w:id="2074545963">
                  <w:marLeft w:val="0"/>
                  <w:marRight w:val="0"/>
                  <w:marTop w:val="0"/>
                  <w:marBottom w:val="0"/>
                  <w:divBdr>
                    <w:top w:val="none" w:sz="0" w:space="0" w:color="auto"/>
                    <w:left w:val="none" w:sz="0" w:space="0" w:color="auto"/>
                    <w:bottom w:val="none" w:sz="0" w:space="0" w:color="auto"/>
                    <w:right w:val="none" w:sz="0" w:space="0" w:color="auto"/>
                  </w:divBdr>
                </w:div>
                <w:div w:id="2064670260">
                  <w:marLeft w:val="0"/>
                  <w:marRight w:val="0"/>
                  <w:marTop w:val="0"/>
                  <w:marBottom w:val="0"/>
                  <w:divBdr>
                    <w:top w:val="none" w:sz="0" w:space="0" w:color="auto"/>
                    <w:left w:val="none" w:sz="0" w:space="0" w:color="auto"/>
                    <w:bottom w:val="none" w:sz="0" w:space="0" w:color="auto"/>
                    <w:right w:val="none" w:sz="0" w:space="0" w:color="auto"/>
                  </w:divBdr>
                </w:div>
                <w:div w:id="330641767">
                  <w:marLeft w:val="0"/>
                  <w:marRight w:val="0"/>
                  <w:marTop w:val="0"/>
                  <w:marBottom w:val="0"/>
                  <w:divBdr>
                    <w:top w:val="none" w:sz="0" w:space="0" w:color="auto"/>
                    <w:left w:val="none" w:sz="0" w:space="0" w:color="auto"/>
                    <w:bottom w:val="none" w:sz="0" w:space="0" w:color="auto"/>
                    <w:right w:val="none" w:sz="0" w:space="0" w:color="auto"/>
                  </w:divBdr>
                </w:div>
                <w:div w:id="767195861">
                  <w:marLeft w:val="0"/>
                  <w:marRight w:val="0"/>
                  <w:marTop w:val="0"/>
                  <w:marBottom w:val="0"/>
                  <w:divBdr>
                    <w:top w:val="none" w:sz="0" w:space="0" w:color="auto"/>
                    <w:left w:val="none" w:sz="0" w:space="0" w:color="auto"/>
                    <w:bottom w:val="none" w:sz="0" w:space="0" w:color="auto"/>
                    <w:right w:val="none" w:sz="0" w:space="0" w:color="auto"/>
                  </w:divBdr>
                  <w:divsChild>
                    <w:div w:id="1552619856">
                      <w:marLeft w:val="0"/>
                      <w:marRight w:val="0"/>
                      <w:marTop w:val="0"/>
                      <w:marBottom w:val="0"/>
                      <w:divBdr>
                        <w:top w:val="none" w:sz="0" w:space="0" w:color="auto"/>
                        <w:left w:val="none" w:sz="0" w:space="0" w:color="auto"/>
                        <w:bottom w:val="none" w:sz="0" w:space="0" w:color="auto"/>
                        <w:right w:val="none" w:sz="0" w:space="0" w:color="auto"/>
                      </w:divBdr>
                    </w:div>
                  </w:divsChild>
                </w:div>
                <w:div w:id="2041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2614">
      <w:bodyDiv w:val="1"/>
      <w:marLeft w:val="0"/>
      <w:marRight w:val="0"/>
      <w:marTop w:val="0"/>
      <w:marBottom w:val="0"/>
      <w:divBdr>
        <w:top w:val="none" w:sz="0" w:space="0" w:color="auto"/>
        <w:left w:val="none" w:sz="0" w:space="0" w:color="auto"/>
        <w:bottom w:val="none" w:sz="0" w:space="0" w:color="auto"/>
        <w:right w:val="none" w:sz="0" w:space="0" w:color="auto"/>
      </w:divBdr>
    </w:div>
    <w:div w:id="1095780832">
      <w:bodyDiv w:val="1"/>
      <w:marLeft w:val="0"/>
      <w:marRight w:val="0"/>
      <w:marTop w:val="0"/>
      <w:marBottom w:val="0"/>
      <w:divBdr>
        <w:top w:val="none" w:sz="0" w:space="0" w:color="auto"/>
        <w:left w:val="none" w:sz="0" w:space="0" w:color="auto"/>
        <w:bottom w:val="none" w:sz="0" w:space="0" w:color="auto"/>
        <w:right w:val="none" w:sz="0" w:space="0" w:color="auto"/>
      </w:divBdr>
    </w:div>
    <w:div w:id="1144085177">
      <w:bodyDiv w:val="1"/>
      <w:marLeft w:val="0"/>
      <w:marRight w:val="0"/>
      <w:marTop w:val="0"/>
      <w:marBottom w:val="0"/>
      <w:divBdr>
        <w:top w:val="none" w:sz="0" w:space="0" w:color="auto"/>
        <w:left w:val="none" w:sz="0" w:space="0" w:color="auto"/>
        <w:bottom w:val="none" w:sz="0" w:space="0" w:color="auto"/>
        <w:right w:val="none" w:sz="0" w:space="0" w:color="auto"/>
      </w:divBdr>
    </w:div>
    <w:div w:id="1169902754">
      <w:bodyDiv w:val="1"/>
      <w:marLeft w:val="0"/>
      <w:marRight w:val="0"/>
      <w:marTop w:val="0"/>
      <w:marBottom w:val="0"/>
      <w:divBdr>
        <w:top w:val="none" w:sz="0" w:space="0" w:color="auto"/>
        <w:left w:val="none" w:sz="0" w:space="0" w:color="auto"/>
        <w:bottom w:val="none" w:sz="0" w:space="0" w:color="auto"/>
        <w:right w:val="none" w:sz="0" w:space="0" w:color="auto"/>
      </w:divBdr>
    </w:div>
    <w:div w:id="1181697787">
      <w:bodyDiv w:val="1"/>
      <w:marLeft w:val="0"/>
      <w:marRight w:val="0"/>
      <w:marTop w:val="0"/>
      <w:marBottom w:val="0"/>
      <w:divBdr>
        <w:top w:val="none" w:sz="0" w:space="0" w:color="auto"/>
        <w:left w:val="none" w:sz="0" w:space="0" w:color="auto"/>
        <w:bottom w:val="none" w:sz="0" w:space="0" w:color="auto"/>
        <w:right w:val="none" w:sz="0" w:space="0" w:color="auto"/>
      </w:divBdr>
    </w:div>
    <w:div w:id="1185053213">
      <w:bodyDiv w:val="1"/>
      <w:marLeft w:val="0"/>
      <w:marRight w:val="0"/>
      <w:marTop w:val="0"/>
      <w:marBottom w:val="0"/>
      <w:divBdr>
        <w:top w:val="none" w:sz="0" w:space="0" w:color="auto"/>
        <w:left w:val="none" w:sz="0" w:space="0" w:color="auto"/>
        <w:bottom w:val="none" w:sz="0" w:space="0" w:color="auto"/>
        <w:right w:val="none" w:sz="0" w:space="0" w:color="auto"/>
      </w:divBdr>
    </w:div>
    <w:div w:id="1251886304">
      <w:bodyDiv w:val="1"/>
      <w:marLeft w:val="0"/>
      <w:marRight w:val="0"/>
      <w:marTop w:val="0"/>
      <w:marBottom w:val="0"/>
      <w:divBdr>
        <w:top w:val="none" w:sz="0" w:space="0" w:color="auto"/>
        <w:left w:val="none" w:sz="0" w:space="0" w:color="auto"/>
        <w:bottom w:val="none" w:sz="0" w:space="0" w:color="auto"/>
        <w:right w:val="none" w:sz="0" w:space="0" w:color="auto"/>
      </w:divBdr>
    </w:div>
    <w:div w:id="1323773322">
      <w:bodyDiv w:val="1"/>
      <w:marLeft w:val="0"/>
      <w:marRight w:val="0"/>
      <w:marTop w:val="0"/>
      <w:marBottom w:val="0"/>
      <w:divBdr>
        <w:top w:val="none" w:sz="0" w:space="0" w:color="auto"/>
        <w:left w:val="none" w:sz="0" w:space="0" w:color="auto"/>
        <w:bottom w:val="none" w:sz="0" w:space="0" w:color="auto"/>
        <w:right w:val="none" w:sz="0" w:space="0" w:color="auto"/>
      </w:divBdr>
    </w:div>
    <w:div w:id="1364094008">
      <w:bodyDiv w:val="1"/>
      <w:marLeft w:val="0"/>
      <w:marRight w:val="0"/>
      <w:marTop w:val="0"/>
      <w:marBottom w:val="0"/>
      <w:divBdr>
        <w:top w:val="none" w:sz="0" w:space="0" w:color="auto"/>
        <w:left w:val="none" w:sz="0" w:space="0" w:color="auto"/>
        <w:bottom w:val="none" w:sz="0" w:space="0" w:color="auto"/>
        <w:right w:val="none" w:sz="0" w:space="0" w:color="auto"/>
      </w:divBdr>
      <w:divsChild>
        <w:div w:id="1102215799">
          <w:marLeft w:val="0"/>
          <w:marRight w:val="0"/>
          <w:marTop w:val="0"/>
          <w:marBottom w:val="0"/>
          <w:divBdr>
            <w:top w:val="none" w:sz="0" w:space="0" w:color="auto"/>
            <w:left w:val="none" w:sz="0" w:space="0" w:color="auto"/>
            <w:bottom w:val="none" w:sz="0" w:space="0" w:color="auto"/>
            <w:right w:val="none" w:sz="0" w:space="0" w:color="auto"/>
          </w:divBdr>
        </w:div>
        <w:div w:id="1170750525">
          <w:marLeft w:val="0"/>
          <w:marRight w:val="60"/>
          <w:marTop w:val="45"/>
          <w:marBottom w:val="0"/>
          <w:divBdr>
            <w:top w:val="none" w:sz="0" w:space="0" w:color="auto"/>
            <w:left w:val="none" w:sz="0" w:space="0" w:color="auto"/>
            <w:bottom w:val="none" w:sz="0" w:space="0" w:color="auto"/>
            <w:right w:val="none" w:sz="0" w:space="0" w:color="auto"/>
          </w:divBdr>
        </w:div>
      </w:divsChild>
    </w:div>
    <w:div w:id="1422601894">
      <w:bodyDiv w:val="1"/>
      <w:marLeft w:val="0"/>
      <w:marRight w:val="0"/>
      <w:marTop w:val="0"/>
      <w:marBottom w:val="0"/>
      <w:divBdr>
        <w:top w:val="none" w:sz="0" w:space="0" w:color="auto"/>
        <w:left w:val="none" w:sz="0" w:space="0" w:color="auto"/>
        <w:bottom w:val="none" w:sz="0" w:space="0" w:color="auto"/>
        <w:right w:val="none" w:sz="0" w:space="0" w:color="auto"/>
      </w:divBdr>
    </w:div>
    <w:div w:id="1437024642">
      <w:bodyDiv w:val="1"/>
      <w:marLeft w:val="0"/>
      <w:marRight w:val="0"/>
      <w:marTop w:val="0"/>
      <w:marBottom w:val="0"/>
      <w:divBdr>
        <w:top w:val="none" w:sz="0" w:space="0" w:color="auto"/>
        <w:left w:val="none" w:sz="0" w:space="0" w:color="auto"/>
        <w:bottom w:val="none" w:sz="0" w:space="0" w:color="auto"/>
        <w:right w:val="none" w:sz="0" w:space="0" w:color="auto"/>
      </w:divBdr>
    </w:div>
    <w:div w:id="1470897383">
      <w:bodyDiv w:val="1"/>
      <w:marLeft w:val="0"/>
      <w:marRight w:val="0"/>
      <w:marTop w:val="0"/>
      <w:marBottom w:val="0"/>
      <w:divBdr>
        <w:top w:val="none" w:sz="0" w:space="0" w:color="auto"/>
        <w:left w:val="none" w:sz="0" w:space="0" w:color="auto"/>
        <w:bottom w:val="none" w:sz="0" w:space="0" w:color="auto"/>
        <w:right w:val="none" w:sz="0" w:space="0" w:color="auto"/>
      </w:divBdr>
    </w:div>
    <w:div w:id="1495100958">
      <w:bodyDiv w:val="1"/>
      <w:marLeft w:val="0"/>
      <w:marRight w:val="0"/>
      <w:marTop w:val="0"/>
      <w:marBottom w:val="0"/>
      <w:divBdr>
        <w:top w:val="none" w:sz="0" w:space="0" w:color="auto"/>
        <w:left w:val="none" w:sz="0" w:space="0" w:color="auto"/>
        <w:bottom w:val="none" w:sz="0" w:space="0" w:color="auto"/>
        <w:right w:val="none" w:sz="0" w:space="0" w:color="auto"/>
      </w:divBdr>
    </w:div>
    <w:div w:id="1518304089">
      <w:bodyDiv w:val="1"/>
      <w:marLeft w:val="0"/>
      <w:marRight w:val="0"/>
      <w:marTop w:val="0"/>
      <w:marBottom w:val="0"/>
      <w:divBdr>
        <w:top w:val="none" w:sz="0" w:space="0" w:color="auto"/>
        <w:left w:val="none" w:sz="0" w:space="0" w:color="auto"/>
        <w:bottom w:val="none" w:sz="0" w:space="0" w:color="auto"/>
        <w:right w:val="none" w:sz="0" w:space="0" w:color="auto"/>
      </w:divBdr>
    </w:div>
    <w:div w:id="1550071930">
      <w:bodyDiv w:val="1"/>
      <w:marLeft w:val="0"/>
      <w:marRight w:val="0"/>
      <w:marTop w:val="0"/>
      <w:marBottom w:val="0"/>
      <w:divBdr>
        <w:top w:val="none" w:sz="0" w:space="0" w:color="auto"/>
        <w:left w:val="none" w:sz="0" w:space="0" w:color="auto"/>
        <w:bottom w:val="none" w:sz="0" w:space="0" w:color="auto"/>
        <w:right w:val="none" w:sz="0" w:space="0" w:color="auto"/>
      </w:divBdr>
    </w:div>
    <w:div w:id="1567061943">
      <w:bodyDiv w:val="1"/>
      <w:marLeft w:val="0"/>
      <w:marRight w:val="0"/>
      <w:marTop w:val="0"/>
      <w:marBottom w:val="0"/>
      <w:divBdr>
        <w:top w:val="none" w:sz="0" w:space="0" w:color="auto"/>
        <w:left w:val="none" w:sz="0" w:space="0" w:color="auto"/>
        <w:bottom w:val="none" w:sz="0" w:space="0" w:color="auto"/>
        <w:right w:val="none" w:sz="0" w:space="0" w:color="auto"/>
      </w:divBdr>
    </w:div>
    <w:div w:id="1596134106">
      <w:bodyDiv w:val="1"/>
      <w:marLeft w:val="0"/>
      <w:marRight w:val="0"/>
      <w:marTop w:val="0"/>
      <w:marBottom w:val="0"/>
      <w:divBdr>
        <w:top w:val="none" w:sz="0" w:space="0" w:color="auto"/>
        <w:left w:val="none" w:sz="0" w:space="0" w:color="auto"/>
        <w:bottom w:val="none" w:sz="0" w:space="0" w:color="auto"/>
        <w:right w:val="none" w:sz="0" w:space="0" w:color="auto"/>
      </w:divBdr>
    </w:div>
    <w:div w:id="1613511540">
      <w:bodyDiv w:val="1"/>
      <w:marLeft w:val="0"/>
      <w:marRight w:val="0"/>
      <w:marTop w:val="0"/>
      <w:marBottom w:val="0"/>
      <w:divBdr>
        <w:top w:val="none" w:sz="0" w:space="0" w:color="auto"/>
        <w:left w:val="none" w:sz="0" w:space="0" w:color="auto"/>
        <w:bottom w:val="none" w:sz="0" w:space="0" w:color="auto"/>
        <w:right w:val="none" w:sz="0" w:space="0" w:color="auto"/>
      </w:divBdr>
    </w:div>
    <w:div w:id="1692953498">
      <w:bodyDiv w:val="1"/>
      <w:marLeft w:val="0"/>
      <w:marRight w:val="0"/>
      <w:marTop w:val="0"/>
      <w:marBottom w:val="0"/>
      <w:divBdr>
        <w:top w:val="none" w:sz="0" w:space="0" w:color="auto"/>
        <w:left w:val="none" w:sz="0" w:space="0" w:color="auto"/>
        <w:bottom w:val="none" w:sz="0" w:space="0" w:color="auto"/>
        <w:right w:val="none" w:sz="0" w:space="0" w:color="auto"/>
      </w:divBdr>
    </w:div>
    <w:div w:id="1701585570">
      <w:bodyDiv w:val="1"/>
      <w:marLeft w:val="0"/>
      <w:marRight w:val="0"/>
      <w:marTop w:val="0"/>
      <w:marBottom w:val="0"/>
      <w:divBdr>
        <w:top w:val="none" w:sz="0" w:space="0" w:color="auto"/>
        <w:left w:val="none" w:sz="0" w:space="0" w:color="auto"/>
        <w:bottom w:val="none" w:sz="0" w:space="0" w:color="auto"/>
        <w:right w:val="none" w:sz="0" w:space="0" w:color="auto"/>
      </w:divBdr>
    </w:div>
    <w:div w:id="1715618885">
      <w:bodyDiv w:val="1"/>
      <w:marLeft w:val="0"/>
      <w:marRight w:val="0"/>
      <w:marTop w:val="0"/>
      <w:marBottom w:val="0"/>
      <w:divBdr>
        <w:top w:val="none" w:sz="0" w:space="0" w:color="auto"/>
        <w:left w:val="none" w:sz="0" w:space="0" w:color="auto"/>
        <w:bottom w:val="none" w:sz="0" w:space="0" w:color="auto"/>
        <w:right w:val="none" w:sz="0" w:space="0" w:color="auto"/>
      </w:divBdr>
    </w:div>
    <w:div w:id="1741898708">
      <w:bodyDiv w:val="1"/>
      <w:marLeft w:val="0"/>
      <w:marRight w:val="0"/>
      <w:marTop w:val="0"/>
      <w:marBottom w:val="0"/>
      <w:divBdr>
        <w:top w:val="none" w:sz="0" w:space="0" w:color="auto"/>
        <w:left w:val="none" w:sz="0" w:space="0" w:color="auto"/>
        <w:bottom w:val="none" w:sz="0" w:space="0" w:color="auto"/>
        <w:right w:val="none" w:sz="0" w:space="0" w:color="auto"/>
      </w:divBdr>
    </w:div>
    <w:div w:id="1742823159">
      <w:bodyDiv w:val="1"/>
      <w:marLeft w:val="0"/>
      <w:marRight w:val="0"/>
      <w:marTop w:val="0"/>
      <w:marBottom w:val="0"/>
      <w:divBdr>
        <w:top w:val="none" w:sz="0" w:space="0" w:color="auto"/>
        <w:left w:val="none" w:sz="0" w:space="0" w:color="auto"/>
        <w:bottom w:val="none" w:sz="0" w:space="0" w:color="auto"/>
        <w:right w:val="none" w:sz="0" w:space="0" w:color="auto"/>
      </w:divBdr>
    </w:div>
    <w:div w:id="1769545275">
      <w:bodyDiv w:val="1"/>
      <w:marLeft w:val="0"/>
      <w:marRight w:val="0"/>
      <w:marTop w:val="0"/>
      <w:marBottom w:val="0"/>
      <w:divBdr>
        <w:top w:val="none" w:sz="0" w:space="0" w:color="auto"/>
        <w:left w:val="none" w:sz="0" w:space="0" w:color="auto"/>
        <w:bottom w:val="none" w:sz="0" w:space="0" w:color="auto"/>
        <w:right w:val="none" w:sz="0" w:space="0" w:color="auto"/>
      </w:divBdr>
    </w:div>
    <w:div w:id="1770201352">
      <w:bodyDiv w:val="1"/>
      <w:marLeft w:val="0"/>
      <w:marRight w:val="0"/>
      <w:marTop w:val="0"/>
      <w:marBottom w:val="0"/>
      <w:divBdr>
        <w:top w:val="none" w:sz="0" w:space="0" w:color="auto"/>
        <w:left w:val="none" w:sz="0" w:space="0" w:color="auto"/>
        <w:bottom w:val="none" w:sz="0" w:space="0" w:color="auto"/>
        <w:right w:val="none" w:sz="0" w:space="0" w:color="auto"/>
      </w:divBdr>
    </w:div>
    <w:div w:id="1804688951">
      <w:bodyDiv w:val="1"/>
      <w:marLeft w:val="0"/>
      <w:marRight w:val="0"/>
      <w:marTop w:val="0"/>
      <w:marBottom w:val="0"/>
      <w:divBdr>
        <w:top w:val="none" w:sz="0" w:space="0" w:color="auto"/>
        <w:left w:val="none" w:sz="0" w:space="0" w:color="auto"/>
        <w:bottom w:val="none" w:sz="0" w:space="0" w:color="auto"/>
        <w:right w:val="none" w:sz="0" w:space="0" w:color="auto"/>
      </w:divBdr>
    </w:div>
    <w:div w:id="1804956400">
      <w:bodyDiv w:val="1"/>
      <w:marLeft w:val="0"/>
      <w:marRight w:val="0"/>
      <w:marTop w:val="0"/>
      <w:marBottom w:val="0"/>
      <w:divBdr>
        <w:top w:val="none" w:sz="0" w:space="0" w:color="auto"/>
        <w:left w:val="none" w:sz="0" w:space="0" w:color="auto"/>
        <w:bottom w:val="none" w:sz="0" w:space="0" w:color="auto"/>
        <w:right w:val="none" w:sz="0" w:space="0" w:color="auto"/>
      </w:divBdr>
    </w:div>
    <w:div w:id="1808820756">
      <w:bodyDiv w:val="1"/>
      <w:marLeft w:val="0"/>
      <w:marRight w:val="0"/>
      <w:marTop w:val="0"/>
      <w:marBottom w:val="0"/>
      <w:divBdr>
        <w:top w:val="none" w:sz="0" w:space="0" w:color="auto"/>
        <w:left w:val="none" w:sz="0" w:space="0" w:color="auto"/>
        <w:bottom w:val="none" w:sz="0" w:space="0" w:color="auto"/>
        <w:right w:val="none" w:sz="0" w:space="0" w:color="auto"/>
      </w:divBdr>
    </w:div>
    <w:div w:id="1833139723">
      <w:bodyDiv w:val="1"/>
      <w:marLeft w:val="0"/>
      <w:marRight w:val="0"/>
      <w:marTop w:val="0"/>
      <w:marBottom w:val="0"/>
      <w:divBdr>
        <w:top w:val="none" w:sz="0" w:space="0" w:color="auto"/>
        <w:left w:val="none" w:sz="0" w:space="0" w:color="auto"/>
        <w:bottom w:val="none" w:sz="0" w:space="0" w:color="auto"/>
        <w:right w:val="none" w:sz="0" w:space="0" w:color="auto"/>
      </w:divBdr>
    </w:div>
    <w:div w:id="1852642195">
      <w:bodyDiv w:val="1"/>
      <w:marLeft w:val="0"/>
      <w:marRight w:val="0"/>
      <w:marTop w:val="0"/>
      <w:marBottom w:val="0"/>
      <w:divBdr>
        <w:top w:val="none" w:sz="0" w:space="0" w:color="auto"/>
        <w:left w:val="none" w:sz="0" w:space="0" w:color="auto"/>
        <w:bottom w:val="none" w:sz="0" w:space="0" w:color="auto"/>
        <w:right w:val="none" w:sz="0" w:space="0" w:color="auto"/>
      </w:divBdr>
    </w:div>
    <w:div w:id="1887059823">
      <w:bodyDiv w:val="1"/>
      <w:marLeft w:val="0"/>
      <w:marRight w:val="0"/>
      <w:marTop w:val="0"/>
      <w:marBottom w:val="0"/>
      <w:divBdr>
        <w:top w:val="none" w:sz="0" w:space="0" w:color="auto"/>
        <w:left w:val="none" w:sz="0" w:space="0" w:color="auto"/>
        <w:bottom w:val="none" w:sz="0" w:space="0" w:color="auto"/>
        <w:right w:val="none" w:sz="0" w:space="0" w:color="auto"/>
      </w:divBdr>
    </w:div>
    <w:div w:id="1905992737">
      <w:bodyDiv w:val="1"/>
      <w:marLeft w:val="0"/>
      <w:marRight w:val="0"/>
      <w:marTop w:val="0"/>
      <w:marBottom w:val="0"/>
      <w:divBdr>
        <w:top w:val="none" w:sz="0" w:space="0" w:color="auto"/>
        <w:left w:val="none" w:sz="0" w:space="0" w:color="auto"/>
        <w:bottom w:val="none" w:sz="0" w:space="0" w:color="auto"/>
        <w:right w:val="none" w:sz="0" w:space="0" w:color="auto"/>
      </w:divBdr>
    </w:div>
    <w:div w:id="1916233786">
      <w:bodyDiv w:val="1"/>
      <w:marLeft w:val="0"/>
      <w:marRight w:val="0"/>
      <w:marTop w:val="0"/>
      <w:marBottom w:val="0"/>
      <w:divBdr>
        <w:top w:val="none" w:sz="0" w:space="0" w:color="auto"/>
        <w:left w:val="none" w:sz="0" w:space="0" w:color="auto"/>
        <w:bottom w:val="none" w:sz="0" w:space="0" w:color="auto"/>
        <w:right w:val="none" w:sz="0" w:space="0" w:color="auto"/>
      </w:divBdr>
    </w:div>
    <w:div w:id="1922979752">
      <w:bodyDiv w:val="1"/>
      <w:marLeft w:val="0"/>
      <w:marRight w:val="0"/>
      <w:marTop w:val="0"/>
      <w:marBottom w:val="0"/>
      <w:divBdr>
        <w:top w:val="none" w:sz="0" w:space="0" w:color="auto"/>
        <w:left w:val="none" w:sz="0" w:space="0" w:color="auto"/>
        <w:bottom w:val="none" w:sz="0" w:space="0" w:color="auto"/>
        <w:right w:val="none" w:sz="0" w:space="0" w:color="auto"/>
      </w:divBdr>
    </w:div>
    <w:div w:id="1924755666">
      <w:bodyDiv w:val="1"/>
      <w:marLeft w:val="0"/>
      <w:marRight w:val="0"/>
      <w:marTop w:val="0"/>
      <w:marBottom w:val="0"/>
      <w:divBdr>
        <w:top w:val="none" w:sz="0" w:space="0" w:color="auto"/>
        <w:left w:val="none" w:sz="0" w:space="0" w:color="auto"/>
        <w:bottom w:val="none" w:sz="0" w:space="0" w:color="auto"/>
        <w:right w:val="none" w:sz="0" w:space="0" w:color="auto"/>
      </w:divBdr>
    </w:div>
    <w:div w:id="1933197964">
      <w:bodyDiv w:val="1"/>
      <w:marLeft w:val="0"/>
      <w:marRight w:val="0"/>
      <w:marTop w:val="0"/>
      <w:marBottom w:val="0"/>
      <w:divBdr>
        <w:top w:val="none" w:sz="0" w:space="0" w:color="auto"/>
        <w:left w:val="none" w:sz="0" w:space="0" w:color="auto"/>
        <w:bottom w:val="none" w:sz="0" w:space="0" w:color="auto"/>
        <w:right w:val="none" w:sz="0" w:space="0" w:color="auto"/>
      </w:divBdr>
    </w:div>
    <w:div w:id="1933470628">
      <w:bodyDiv w:val="1"/>
      <w:marLeft w:val="0"/>
      <w:marRight w:val="0"/>
      <w:marTop w:val="0"/>
      <w:marBottom w:val="0"/>
      <w:divBdr>
        <w:top w:val="none" w:sz="0" w:space="0" w:color="auto"/>
        <w:left w:val="none" w:sz="0" w:space="0" w:color="auto"/>
        <w:bottom w:val="none" w:sz="0" w:space="0" w:color="auto"/>
        <w:right w:val="none" w:sz="0" w:space="0" w:color="auto"/>
      </w:divBdr>
    </w:div>
    <w:div w:id="1939480646">
      <w:bodyDiv w:val="1"/>
      <w:marLeft w:val="0"/>
      <w:marRight w:val="0"/>
      <w:marTop w:val="0"/>
      <w:marBottom w:val="0"/>
      <w:divBdr>
        <w:top w:val="none" w:sz="0" w:space="0" w:color="auto"/>
        <w:left w:val="none" w:sz="0" w:space="0" w:color="auto"/>
        <w:bottom w:val="none" w:sz="0" w:space="0" w:color="auto"/>
        <w:right w:val="none" w:sz="0" w:space="0" w:color="auto"/>
      </w:divBdr>
    </w:div>
    <w:div w:id="1940943674">
      <w:bodyDiv w:val="1"/>
      <w:marLeft w:val="0"/>
      <w:marRight w:val="0"/>
      <w:marTop w:val="0"/>
      <w:marBottom w:val="0"/>
      <w:divBdr>
        <w:top w:val="none" w:sz="0" w:space="0" w:color="auto"/>
        <w:left w:val="none" w:sz="0" w:space="0" w:color="auto"/>
        <w:bottom w:val="none" w:sz="0" w:space="0" w:color="auto"/>
        <w:right w:val="none" w:sz="0" w:space="0" w:color="auto"/>
      </w:divBdr>
    </w:div>
    <w:div w:id="1994064191">
      <w:bodyDiv w:val="1"/>
      <w:marLeft w:val="0"/>
      <w:marRight w:val="0"/>
      <w:marTop w:val="0"/>
      <w:marBottom w:val="0"/>
      <w:divBdr>
        <w:top w:val="none" w:sz="0" w:space="0" w:color="auto"/>
        <w:left w:val="none" w:sz="0" w:space="0" w:color="auto"/>
        <w:bottom w:val="none" w:sz="0" w:space="0" w:color="auto"/>
        <w:right w:val="none" w:sz="0" w:space="0" w:color="auto"/>
      </w:divBdr>
    </w:div>
    <w:div w:id="2001807274">
      <w:bodyDiv w:val="1"/>
      <w:marLeft w:val="0"/>
      <w:marRight w:val="0"/>
      <w:marTop w:val="0"/>
      <w:marBottom w:val="0"/>
      <w:divBdr>
        <w:top w:val="none" w:sz="0" w:space="0" w:color="auto"/>
        <w:left w:val="none" w:sz="0" w:space="0" w:color="auto"/>
        <w:bottom w:val="none" w:sz="0" w:space="0" w:color="auto"/>
        <w:right w:val="none" w:sz="0" w:space="0" w:color="auto"/>
      </w:divBdr>
    </w:div>
    <w:div w:id="2010909448">
      <w:bodyDiv w:val="1"/>
      <w:marLeft w:val="0"/>
      <w:marRight w:val="0"/>
      <w:marTop w:val="0"/>
      <w:marBottom w:val="0"/>
      <w:divBdr>
        <w:top w:val="none" w:sz="0" w:space="0" w:color="auto"/>
        <w:left w:val="none" w:sz="0" w:space="0" w:color="auto"/>
        <w:bottom w:val="none" w:sz="0" w:space="0" w:color="auto"/>
        <w:right w:val="none" w:sz="0" w:space="0" w:color="auto"/>
      </w:divBdr>
    </w:div>
    <w:div w:id="2055231676">
      <w:bodyDiv w:val="1"/>
      <w:marLeft w:val="0"/>
      <w:marRight w:val="0"/>
      <w:marTop w:val="0"/>
      <w:marBottom w:val="0"/>
      <w:divBdr>
        <w:top w:val="none" w:sz="0" w:space="0" w:color="auto"/>
        <w:left w:val="none" w:sz="0" w:space="0" w:color="auto"/>
        <w:bottom w:val="none" w:sz="0" w:space="0" w:color="auto"/>
        <w:right w:val="none" w:sz="0" w:space="0" w:color="auto"/>
      </w:divBdr>
    </w:div>
    <w:div w:id="2056153310">
      <w:bodyDiv w:val="1"/>
      <w:marLeft w:val="0"/>
      <w:marRight w:val="0"/>
      <w:marTop w:val="0"/>
      <w:marBottom w:val="0"/>
      <w:divBdr>
        <w:top w:val="none" w:sz="0" w:space="0" w:color="auto"/>
        <w:left w:val="none" w:sz="0" w:space="0" w:color="auto"/>
        <w:bottom w:val="none" w:sz="0" w:space="0" w:color="auto"/>
        <w:right w:val="none" w:sz="0" w:space="0" w:color="auto"/>
      </w:divBdr>
    </w:div>
    <w:div w:id="2082680155">
      <w:bodyDiv w:val="1"/>
      <w:marLeft w:val="0"/>
      <w:marRight w:val="0"/>
      <w:marTop w:val="0"/>
      <w:marBottom w:val="0"/>
      <w:divBdr>
        <w:top w:val="none" w:sz="0" w:space="0" w:color="auto"/>
        <w:left w:val="none" w:sz="0" w:space="0" w:color="auto"/>
        <w:bottom w:val="none" w:sz="0" w:space="0" w:color="auto"/>
        <w:right w:val="none" w:sz="0" w:space="0" w:color="auto"/>
      </w:divBdr>
    </w:div>
    <w:div w:id="2092504561">
      <w:bodyDiv w:val="1"/>
      <w:marLeft w:val="0"/>
      <w:marRight w:val="0"/>
      <w:marTop w:val="0"/>
      <w:marBottom w:val="0"/>
      <w:divBdr>
        <w:top w:val="none" w:sz="0" w:space="0" w:color="auto"/>
        <w:left w:val="none" w:sz="0" w:space="0" w:color="auto"/>
        <w:bottom w:val="none" w:sz="0" w:space="0" w:color="auto"/>
        <w:right w:val="none" w:sz="0" w:space="0" w:color="auto"/>
      </w:divBdr>
    </w:div>
    <w:div w:id="21369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sdp.gov.co/transparencia/estructura-organizacion/procesos-y-procedimient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D:\w\2019\Informes\Para%20realizar\SISIGSeguimientoJun30de2019Sopor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924720418207956"/>
          <c:y val="0"/>
          <c:w val="0.64802304791920062"/>
          <c:h val="1"/>
        </c:manualLayout>
      </c:layout>
      <c:pieChart>
        <c:varyColors val="1"/>
        <c:ser>
          <c:idx val="0"/>
          <c:order val="0"/>
          <c:spPr>
            <a:noFill/>
            <a:ln>
              <a:solidFill>
                <a:schemeClr val="tx1"/>
              </a:solidFill>
            </a:ln>
          </c:spPr>
          <c:dLbls>
            <c:dLbl>
              <c:idx val="2"/>
              <c:layout>
                <c:manualLayout>
                  <c:x val="0.21967053188238594"/>
                  <c:y val="4.218511384052991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42-4EC9-86B3-AA437C43A89A}"/>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ActividadesPHVA!$B$1:$E$1</c:f>
              <c:strCache>
                <c:ptCount val="4"/>
                <c:pt idx="0">
                  <c:v>Planear</c:v>
                </c:pt>
                <c:pt idx="1">
                  <c:v>Hacer</c:v>
                </c:pt>
                <c:pt idx="2">
                  <c:v>Verificar</c:v>
                </c:pt>
                <c:pt idx="3">
                  <c:v>Actuar</c:v>
                </c:pt>
              </c:strCache>
            </c:strRef>
          </c:cat>
          <c:val>
            <c:numRef>
              <c:f>ActividadesPHVA!$B$17:$E$17</c:f>
              <c:numCache>
                <c:formatCode>General</c:formatCode>
                <c:ptCount val="4"/>
                <c:pt idx="0">
                  <c:v>93</c:v>
                </c:pt>
                <c:pt idx="1">
                  <c:v>144</c:v>
                </c:pt>
                <c:pt idx="2">
                  <c:v>88</c:v>
                </c:pt>
                <c:pt idx="3">
                  <c:v>47</c:v>
                </c:pt>
              </c:numCache>
            </c:numRef>
          </c:val>
          <c:extLst>
            <c:ext xmlns:c16="http://schemas.microsoft.com/office/drawing/2014/chart" uri="{C3380CC4-5D6E-409C-BE32-E72D297353CC}">
              <c16:uniqueId val="{00000001-6C42-4EC9-86B3-AA437C43A89A}"/>
            </c:ext>
          </c:extLst>
        </c:ser>
        <c:dLbls>
          <c:showLegendKey val="0"/>
          <c:showVal val="0"/>
          <c:showCatName val="0"/>
          <c:showSerName val="0"/>
          <c:showPercent val="0"/>
          <c:showBubbleSize val="0"/>
          <c:showLeaderLines val="1"/>
        </c:dLbls>
        <c:firstSliceAng val="0"/>
      </c:pieChart>
    </c:plotArea>
    <c:plotVisOnly val="1"/>
    <c:dispBlanksAs val="gap"/>
    <c:showDLblsOverMax val="0"/>
  </c:chart>
  <c:txPr>
    <a:bodyPr/>
    <a:lstStyle/>
    <a:p>
      <a:pPr>
        <a:defRPr sz="800">
          <a:latin typeface="Arial" pitchFamily="34" charset="0"/>
          <a:cs typeface="Arial" pitchFamily="34" charset="0"/>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0745-22C3-4752-8152-B2830C2E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13408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dapd</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eporras</dc:creator>
  <cp:keywords/>
  <dc:description/>
  <cp:lastModifiedBy>Deisy Yamile Marquez Malagon</cp:lastModifiedBy>
  <cp:revision>2</cp:revision>
  <cp:lastPrinted>2019-07-09T19:27:00Z</cp:lastPrinted>
  <dcterms:created xsi:type="dcterms:W3CDTF">2023-04-24T21:37:00Z</dcterms:created>
  <dcterms:modified xsi:type="dcterms:W3CDTF">2023-04-24T21:37:00Z</dcterms:modified>
</cp:coreProperties>
</file>